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6D634" w14:textId="77777777" w:rsidR="00936502" w:rsidRDefault="00D47A7E" w:rsidP="005F06BF">
      <w:pPr>
        <w:jc w:val="both"/>
        <w:rPr>
          <w:b/>
          <w:sz w:val="24"/>
          <w:szCs w:val="24"/>
        </w:rPr>
      </w:pPr>
      <w:r w:rsidRPr="00B76131">
        <w:rPr>
          <w:b/>
          <w:sz w:val="24"/>
          <w:szCs w:val="24"/>
        </w:rPr>
        <w:t xml:space="preserve">Capacity and consent to agree to COVID-19 social distancing / movement </w:t>
      </w:r>
      <w:r w:rsidR="000E481A" w:rsidRPr="00B76131">
        <w:rPr>
          <w:b/>
          <w:sz w:val="24"/>
          <w:szCs w:val="24"/>
        </w:rPr>
        <w:t>rest</w:t>
      </w:r>
      <w:r w:rsidR="00D96D3D" w:rsidRPr="00B76131">
        <w:rPr>
          <w:b/>
          <w:sz w:val="24"/>
          <w:szCs w:val="24"/>
        </w:rPr>
        <w:t>rictions on the inpatient units</w:t>
      </w:r>
    </w:p>
    <w:p w14:paraId="2BA6D635" w14:textId="77777777" w:rsidR="000E481A" w:rsidRPr="00B76131" w:rsidRDefault="000E481A" w:rsidP="005F06BF">
      <w:pPr>
        <w:jc w:val="both"/>
        <w:rPr>
          <w:b/>
          <w:sz w:val="24"/>
          <w:szCs w:val="24"/>
        </w:rPr>
      </w:pPr>
      <w:r w:rsidRPr="00B76131">
        <w:rPr>
          <w:b/>
          <w:sz w:val="24"/>
          <w:szCs w:val="24"/>
        </w:rPr>
        <w:t>Aim</w:t>
      </w:r>
    </w:p>
    <w:p w14:paraId="2BA6D636" w14:textId="77777777" w:rsidR="005F06BF" w:rsidRDefault="000E481A" w:rsidP="005F06BF">
      <w:pPr>
        <w:pStyle w:val="ListParagraph"/>
        <w:numPr>
          <w:ilvl w:val="0"/>
          <w:numId w:val="4"/>
        </w:numPr>
        <w:jc w:val="both"/>
        <w:rPr>
          <w:sz w:val="24"/>
          <w:szCs w:val="24"/>
        </w:rPr>
      </w:pPr>
      <w:r w:rsidRPr="005F06BF">
        <w:rPr>
          <w:sz w:val="24"/>
          <w:szCs w:val="24"/>
        </w:rPr>
        <w:t xml:space="preserve">To ensure that patients’ capacity and consent </w:t>
      </w:r>
      <w:r w:rsidR="00282ED0" w:rsidRPr="005F06BF">
        <w:rPr>
          <w:sz w:val="24"/>
          <w:szCs w:val="24"/>
        </w:rPr>
        <w:t xml:space="preserve">to agree to </w:t>
      </w:r>
      <w:r w:rsidRPr="005F06BF">
        <w:rPr>
          <w:sz w:val="24"/>
          <w:szCs w:val="24"/>
        </w:rPr>
        <w:t>restrictions placed on their movements</w:t>
      </w:r>
      <w:r w:rsidR="00D47A7E" w:rsidRPr="005F06BF">
        <w:rPr>
          <w:sz w:val="24"/>
          <w:szCs w:val="24"/>
        </w:rPr>
        <w:t xml:space="preserve"> by the government’s social distancing advice</w:t>
      </w:r>
      <w:r w:rsidR="00EE7857" w:rsidRPr="005F06BF">
        <w:rPr>
          <w:sz w:val="24"/>
          <w:szCs w:val="24"/>
        </w:rPr>
        <w:t xml:space="preserve"> are considered</w:t>
      </w:r>
      <w:r w:rsidR="00D47A7E" w:rsidRPr="005F06BF">
        <w:rPr>
          <w:sz w:val="24"/>
          <w:szCs w:val="24"/>
        </w:rPr>
        <w:t xml:space="preserve">. </w:t>
      </w:r>
    </w:p>
    <w:p w14:paraId="2BA6D637" w14:textId="77777777" w:rsidR="005F06BF" w:rsidRDefault="005F06BF" w:rsidP="005F06BF">
      <w:pPr>
        <w:pStyle w:val="ListParagraph"/>
        <w:numPr>
          <w:ilvl w:val="0"/>
          <w:numId w:val="4"/>
        </w:numPr>
        <w:jc w:val="both"/>
        <w:rPr>
          <w:sz w:val="24"/>
          <w:szCs w:val="24"/>
        </w:rPr>
      </w:pPr>
      <w:r w:rsidRPr="005F06BF">
        <w:rPr>
          <w:sz w:val="24"/>
          <w:szCs w:val="24"/>
        </w:rPr>
        <w:t xml:space="preserve">To assist staff in managing patients who, for whatever reason, do not comply with the government’s guidance on social distancing. </w:t>
      </w:r>
    </w:p>
    <w:p w14:paraId="2BA6D638" w14:textId="77777777" w:rsidR="005F06BF" w:rsidRDefault="005F06BF" w:rsidP="005F06BF">
      <w:pPr>
        <w:pStyle w:val="ListParagraph"/>
        <w:numPr>
          <w:ilvl w:val="0"/>
          <w:numId w:val="4"/>
        </w:numPr>
        <w:jc w:val="both"/>
        <w:rPr>
          <w:sz w:val="24"/>
          <w:szCs w:val="24"/>
        </w:rPr>
      </w:pPr>
      <w:r>
        <w:rPr>
          <w:sz w:val="24"/>
          <w:szCs w:val="24"/>
        </w:rPr>
        <w:t>To ensure staff are aware that the Mental Health Act should no</w:t>
      </w:r>
      <w:r w:rsidR="00682279">
        <w:rPr>
          <w:sz w:val="24"/>
          <w:szCs w:val="24"/>
        </w:rPr>
        <w:t xml:space="preserve">t be used to enforce treatment, </w:t>
      </w:r>
      <w:r>
        <w:rPr>
          <w:sz w:val="24"/>
          <w:szCs w:val="24"/>
        </w:rPr>
        <w:t>restrictions or isolation that is unrelated to the management of a person’s mental health.</w:t>
      </w:r>
    </w:p>
    <w:p w14:paraId="2BA6D639" w14:textId="77777777" w:rsidR="005F06BF" w:rsidRDefault="00D47A7E" w:rsidP="005F06BF">
      <w:pPr>
        <w:jc w:val="both"/>
        <w:rPr>
          <w:sz w:val="24"/>
          <w:szCs w:val="24"/>
        </w:rPr>
      </w:pPr>
      <w:r w:rsidRPr="005F06BF">
        <w:rPr>
          <w:sz w:val="24"/>
          <w:szCs w:val="24"/>
        </w:rPr>
        <w:t xml:space="preserve">The degree of restriction of movement will depend on individual circumstances eg whether the patient is suspected to have symptoms suggestive of COVID-19 or requires shielding due to their physical health care needs. </w:t>
      </w:r>
    </w:p>
    <w:p w14:paraId="2BA6D63A" w14:textId="77777777" w:rsidR="004D259E" w:rsidRDefault="00282ED0" w:rsidP="005F06BF">
      <w:pPr>
        <w:jc w:val="both"/>
        <w:rPr>
          <w:sz w:val="24"/>
          <w:szCs w:val="24"/>
        </w:rPr>
      </w:pPr>
      <w:r w:rsidRPr="00B76131">
        <w:rPr>
          <w:sz w:val="24"/>
          <w:szCs w:val="24"/>
        </w:rPr>
        <w:t>All patients should have completed documentation of capacity for assessment and treatment on admission. The discussions involved should also include potential risks pertaining to COVID-19 and requ</w:t>
      </w:r>
      <w:r w:rsidR="00D96D3D" w:rsidRPr="00B76131">
        <w:rPr>
          <w:sz w:val="24"/>
          <w:szCs w:val="24"/>
        </w:rPr>
        <w:t xml:space="preserve">irements for social distancing. </w:t>
      </w:r>
      <w:r w:rsidR="004D259E" w:rsidRPr="00B76131">
        <w:rPr>
          <w:sz w:val="24"/>
          <w:szCs w:val="24"/>
        </w:rPr>
        <w:t xml:space="preserve"> The inpatient treating team should </w:t>
      </w:r>
      <w:r w:rsidR="006D3F92" w:rsidRPr="00B76131">
        <w:rPr>
          <w:sz w:val="24"/>
          <w:szCs w:val="24"/>
        </w:rPr>
        <w:t xml:space="preserve">review these assessments to see that they agree with the outcomes and that they are accurate </w:t>
      </w:r>
      <w:r w:rsidR="00936502" w:rsidRPr="00B76131">
        <w:rPr>
          <w:sz w:val="24"/>
          <w:szCs w:val="24"/>
        </w:rPr>
        <w:t>e.g.</w:t>
      </w:r>
      <w:r w:rsidR="006D3F92" w:rsidRPr="00B76131">
        <w:rPr>
          <w:sz w:val="24"/>
          <w:szCs w:val="24"/>
        </w:rPr>
        <w:t xml:space="preserve"> with regard to the social distancing measures in place. </w:t>
      </w:r>
    </w:p>
    <w:p w14:paraId="2BA6D63B" w14:textId="77777777" w:rsidR="00936502" w:rsidRDefault="00936502" w:rsidP="005F06BF">
      <w:pPr>
        <w:jc w:val="both"/>
        <w:rPr>
          <w:sz w:val="24"/>
          <w:szCs w:val="24"/>
        </w:rPr>
      </w:pPr>
    </w:p>
    <w:p w14:paraId="2BA6D63C" w14:textId="77777777" w:rsidR="006D3F92" w:rsidRPr="00B76131" w:rsidRDefault="006D3F92" w:rsidP="005F06BF">
      <w:pPr>
        <w:jc w:val="both"/>
        <w:rPr>
          <w:sz w:val="24"/>
          <w:szCs w:val="24"/>
        </w:rPr>
      </w:pPr>
      <w:r w:rsidRPr="00B76131">
        <w:rPr>
          <w:sz w:val="24"/>
          <w:szCs w:val="24"/>
        </w:rPr>
        <w:t xml:space="preserve">The treating team </w:t>
      </w:r>
      <w:r w:rsidR="00283FDD">
        <w:rPr>
          <w:sz w:val="24"/>
          <w:szCs w:val="24"/>
        </w:rPr>
        <w:t>may find the following of use when supporting patients to comply with the social distancing guidance:-</w:t>
      </w:r>
    </w:p>
    <w:p w14:paraId="2BA6D63D" w14:textId="77777777" w:rsidR="00AB2C6E" w:rsidRDefault="004D5760" w:rsidP="005F06BF">
      <w:pPr>
        <w:jc w:val="both"/>
        <w:rPr>
          <w:b/>
          <w:sz w:val="24"/>
          <w:szCs w:val="24"/>
        </w:rPr>
      </w:pPr>
      <w:r w:rsidRPr="00B76131">
        <w:rPr>
          <w:b/>
          <w:sz w:val="24"/>
          <w:szCs w:val="24"/>
        </w:rPr>
        <w:t>For</w:t>
      </w:r>
      <w:r w:rsidR="00BB24E8">
        <w:rPr>
          <w:b/>
          <w:sz w:val="24"/>
          <w:szCs w:val="24"/>
        </w:rPr>
        <w:t xml:space="preserve"> informal</w:t>
      </w:r>
      <w:r w:rsidRPr="00B76131">
        <w:rPr>
          <w:b/>
          <w:sz w:val="24"/>
          <w:szCs w:val="24"/>
        </w:rPr>
        <w:t xml:space="preserve"> patients with capacity</w:t>
      </w:r>
      <w:r w:rsidR="00BB24E8">
        <w:rPr>
          <w:b/>
          <w:sz w:val="24"/>
          <w:szCs w:val="24"/>
        </w:rPr>
        <w:t xml:space="preserve"> </w:t>
      </w:r>
      <w:r w:rsidR="00283FDD">
        <w:rPr>
          <w:b/>
          <w:sz w:val="24"/>
          <w:szCs w:val="24"/>
        </w:rPr>
        <w:t>who are consenting to restrictions</w:t>
      </w:r>
      <w:r w:rsidR="00AB2C6E">
        <w:rPr>
          <w:b/>
          <w:sz w:val="24"/>
          <w:szCs w:val="24"/>
        </w:rPr>
        <w:t xml:space="preserve">: </w:t>
      </w:r>
    </w:p>
    <w:p w14:paraId="2BA6D63E" w14:textId="77777777" w:rsidR="00FB6443" w:rsidRDefault="004D5760" w:rsidP="005F06BF">
      <w:pPr>
        <w:jc w:val="both"/>
        <w:rPr>
          <w:sz w:val="24"/>
          <w:szCs w:val="24"/>
        </w:rPr>
      </w:pPr>
      <w:r w:rsidRPr="00B76131">
        <w:rPr>
          <w:sz w:val="24"/>
          <w:szCs w:val="24"/>
        </w:rPr>
        <w:t xml:space="preserve">Where patients are </w:t>
      </w:r>
      <w:r w:rsidR="001F00E2" w:rsidRPr="00B76131">
        <w:rPr>
          <w:sz w:val="24"/>
          <w:szCs w:val="24"/>
        </w:rPr>
        <w:t xml:space="preserve">deemed </w:t>
      </w:r>
      <w:r w:rsidRPr="00B76131">
        <w:rPr>
          <w:sz w:val="24"/>
          <w:szCs w:val="24"/>
        </w:rPr>
        <w:t>to have capacity to agree to the recommended restrictions</w:t>
      </w:r>
      <w:r w:rsidR="006D3F92" w:rsidRPr="00B76131">
        <w:rPr>
          <w:sz w:val="24"/>
          <w:szCs w:val="24"/>
        </w:rPr>
        <w:t>,</w:t>
      </w:r>
      <w:r w:rsidRPr="00B76131">
        <w:rPr>
          <w:sz w:val="24"/>
          <w:szCs w:val="24"/>
        </w:rPr>
        <w:t xml:space="preserve"> this should be documented in the notes</w:t>
      </w:r>
      <w:r w:rsidR="00D96D3D" w:rsidRPr="00B76131">
        <w:rPr>
          <w:sz w:val="24"/>
          <w:szCs w:val="24"/>
        </w:rPr>
        <w:t xml:space="preserve"> along with social distancing measures in place</w:t>
      </w:r>
      <w:r w:rsidR="00FB6443">
        <w:rPr>
          <w:sz w:val="24"/>
          <w:szCs w:val="24"/>
        </w:rPr>
        <w:t>.</w:t>
      </w:r>
    </w:p>
    <w:p w14:paraId="2BA6D63F" w14:textId="77777777" w:rsidR="005F06BF" w:rsidRPr="005F06BF" w:rsidRDefault="005F06BF" w:rsidP="005F06BF">
      <w:pPr>
        <w:jc w:val="both"/>
        <w:rPr>
          <w:sz w:val="24"/>
          <w:szCs w:val="24"/>
        </w:rPr>
      </w:pPr>
    </w:p>
    <w:p w14:paraId="2BA6D640" w14:textId="77777777" w:rsidR="00B76131" w:rsidRPr="00AB2C6E" w:rsidRDefault="00AB2C6E" w:rsidP="005F06BF">
      <w:pPr>
        <w:jc w:val="both"/>
        <w:rPr>
          <w:b/>
          <w:sz w:val="24"/>
          <w:szCs w:val="24"/>
        </w:rPr>
      </w:pPr>
      <w:r w:rsidRPr="00AB2C6E">
        <w:rPr>
          <w:b/>
          <w:sz w:val="24"/>
          <w:szCs w:val="24"/>
        </w:rPr>
        <w:t xml:space="preserve">For </w:t>
      </w:r>
      <w:r w:rsidR="00B76131" w:rsidRPr="00AB2C6E">
        <w:rPr>
          <w:b/>
          <w:sz w:val="24"/>
          <w:szCs w:val="24"/>
        </w:rPr>
        <w:t>Informal patients with capacity and patients subject to the Mental Health Act regardless of capacity</w:t>
      </w:r>
      <w:r w:rsidR="00283FDD" w:rsidRPr="00AB2C6E">
        <w:rPr>
          <w:b/>
          <w:sz w:val="24"/>
          <w:szCs w:val="24"/>
        </w:rPr>
        <w:t xml:space="preserve"> who are not consenting</w:t>
      </w:r>
      <w:r w:rsidR="00B76131" w:rsidRPr="00AB2C6E">
        <w:rPr>
          <w:b/>
          <w:sz w:val="24"/>
          <w:szCs w:val="24"/>
        </w:rPr>
        <w:t>:</w:t>
      </w:r>
    </w:p>
    <w:p w14:paraId="2BA6D641" w14:textId="2837A61A" w:rsidR="00B76131" w:rsidRPr="00B76131" w:rsidRDefault="00B76131" w:rsidP="005F06BF">
      <w:pPr>
        <w:jc w:val="both"/>
        <w:rPr>
          <w:sz w:val="24"/>
          <w:szCs w:val="24"/>
        </w:rPr>
      </w:pPr>
      <w:r w:rsidRPr="00B76131">
        <w:rPr>
          <w:sz w:val="24"/>
          <w:szCs w:val="24"/>
        </w:rPr>
        <w:t>Where a</w:t>
      </w:r>
      <w:r>
        <w:rPr>
          <w:sz w:val="24"/>
          <w:szCs w:val="24"/>
        </w:rPr>
        <w:t>n informal</w:t>
      </w:r>
      <w:r w:rsidRPr="00B76131">
        <w:rPr>
          <w:sz w:val="24"/>
          <w:szCs w:val="24"/>
        </w:rPr>
        <w:t xml:space="preserve"> patient with capacity </w:t>
      </w:r>
      <w:r>
        <w:rPr>
          <w:sz w:val="24"/>
          <w:szCs w:val="24"/>
        </w:rPr>
        <w:t xml:space="preserve">or a patient detained under the Mental Health Act </w:t>
      </w:r>
      <w:r w:rsidRPr="00B76131">
        <w:rPr>
          <w:sz w:val="24"/>
          <w:szCs w:val="24"/>
        </w:rPr>
        <w:t>will not adhere to social distancing rules</w:t>
      </w:r>
      <w:r w:rsidR="00682279">
        <w:rPr>
          <w:sz w:val="24"/>
          <w:szCs w:val="24"/>
        </w:rPr>
        <w:t xml:space="preserve"> due to suspected or confirmed infection with COVID</w:t>
      </w:r>
      <w:r w:rsidR="00E45B90">
        <w:rPr>
          <w:sz w:val="24"/>
          <w:szCs w:val="24"/>
        </w:rPr>
        <w:t>-</w:t>
      </w:r>
      <w:r w:rsidR="00682279">
        <w:rPr>
          <w:sz w:val="24"/>
          <w:szCs w:val="24"/>
        </w:rPr>
        <w:t>19</w:t>
      </w:r>
      <w:r w:rsidRPr="00B76131">
        <w:rPr>
          <w:sz w:val="24"/>
          <w:szCs w:val="24"/>
        </w:rPr>
        <w:t>, consideration should be given as to whether they requi</w:t>
      </w:r>
      <w:r w:rsidR="00682279">
        <w:rPr>
          <w:sz w:val="24"/>
          <w:szCs w:val="24"/>
        </w:rPr>
        <w:t>re isolation under the COVID</w:t>
      </w:r>
      <w:r w:rsidR="00E45B90">
        <w:rPr>
          <w:sz w:val="24"/>
          <w:szCs w:val="24"/>
        </w:rPr>
        <w:t>-</w:t>
      </w:r>
      <w:r w:rsidR="00682279">
        <w:rPr>
          <w:sz w:val="24"/>
          <w:szCs w:val="24"/>
        </w:rPr>
        <w:t>19  Protection Regulations</w:t>
      </w:r>
      <w:r w:rsidRPr="00B76131">
        <w:rPr>
          <w:sz w:val="24"/>
          <w:szCs w:val="24"/>
        </w:rPr>
        <w:t>. This would require a registered public health consultant or the Secretary of State to direct that the patient be kept in isolation.</w:t>
      </w:r>
      <w:r w:rsidR="005F06BF">
        <w:rPr>
          <w:sz w:val="24"/>
          <w:szCs w:val="24"/>
        </w:rPr>
        <w:t xml:space="preserve"> See below for contact details. </w:t>
      </w:r>
    </w:p>
    <w:p w14:paraId="2BA6D642" w14:textId="77777777" w:rsidR="00B76131" w:rsidRDefault="00B76131" w:rsidP="005F06BF">
      <w:pPr>
        <w:jc w:val="both"/>
        <w:rPr>
          <w:sz w:val="24"/>
          <w:szCs w:val="24"/>
        </w:rPr>
      </w:pPr>
      <w:r w:rsidRPr="00B76131">
        <w:rPr>
          <w:sz w:val="24"/>
          <w:szCs w:val="24"/>
        </w:rPr>
        <w:lastRenderedPageBreak/>
        <w:t>In the event that you do require the attendance of a registered public health consultant to direct isolation the following law may be of use in containing any potential risk to staff or other patients prior to their arrival</w:t>
      </w:r>
      <w:r>
        <w:rPr>
          <w:sz w:val="24"/>
          <w:szCs w:val="24"/>
        </w:rPr>
        <w:t>. Consideration can a</w:t>
      </w:r>
      <w:r w:rsidR="00BB24E8">
        <w:rPr>
          <w:sz w:val="24"/>
          <w:szCs w:val="24"/>
        </w:rPr>
        <w:t>lways be given as to whether a patient is well enough to</w:t>
      </w:r>
      <w:r>
        <w:rPr>
          <w:sz w:val="24"/>
          <w:szCs w:val="24"/>
        </w:rPr>
        <w:t xml:space="preserve"> be discharged </w:t>
      </w:r>
      <w:r w:rsidR="00BB24E8">
        <w:rPr>
          <w:sz w:val="24"/>
          <w:szCs w:val="24"/>
        </w:rPr>
        <w:t>by the MDT.</w:t>
      </w:r>
    </w:p>
    <w:p w14:paraId="2BA6D643" w14:textId="77777777" w:rsidR="009616A7" w:rsidRPr="00B76131" w:rsidRDefault="009616A7" w:rsidP="005F06BF">
      <w:pPr>
        <w:jc w:val="both"/>
        <w:rPr>
          <w:sz w:val="24"/>
          <w:szCs w:val="24"/>
        </w:rPr>
      </w:pPr>
    </w:p>
    <w:p w14:paraId="2BA6D644" w14:textId="77777777" w:rsidR="00FC280E" w:rsidRPr="00B76131" w:rsidRDefault="00FC280E" w:rsidP="005F06BF">
      <w:pPr>
        <w:jc w:val="both"/>
        <w:rPr>
          <w:sz w:val="24"/>
          <w:szCs w:val="24"/>
          <w:u w:val="single"/>
        </w:rPr>
      </w:pPr>
      <w:r w:rsidRPr="00B76131">
        <w:rPr>
          <w:sz w:val="24"/>
          <w:szCs w:val="24"/>
          <w:u w:val="single"/>
        </w:rPr>
        <w:t>Non-compliant non-aggressive patient</w:t>
      </w:r>
    </w:p>
    <w:p w14:paraId="2BA6D645" w14:textId="79EBECD6" w:rsidR="00B629B6" w:rsidRPr="00B76131" w:rsidRDefault="00271A41" w:rsidP="005F06BF">
      <w:pPr>
        <w:jc w:val="both"/>
        <w:rPr>
          <w:sz w:val="24"/>
          <w:szCs w:val="24"/>
        </w:rPr>
      </w:pPr>
      <w:r w:rsidRPr="00B76131">
        <w:rPr>
          <w:sz w:val="24"/>
          <w:szCs w:val="24"/>
        </w:rPr>
        <w:t>S. 3(1) Criminal Law Act 1967 – this enables a person to use reasonable force in the circumstances to prevent a crime. The purposeful spread of COVID</w:t>
      </w:r>
      <w:r w:rsidR="00E45B90">
        <w:rPr>
          <w:sz w:val="24"/>
          <w:szCs w:val="24"/>
        </w:rPr>
        <w:t>-</w:t>
      </w:r>
      <w:r w:rsidRPr="00B76131">
        <w:rPr>
          <w:sz w:val="24"/>
          <w:szCs w:val="24"/>
        </w:rPr>
        <w:t>19 is considered a criminal offence. This power enables staff to restrain and detain in the short term patients who may be assessed as being an immediate risk to other members of the public if discharged or allowed to leave. It can be used regardless of capacity. It can be used o</w:t>
      </w:r>
      <w:r w:rsidR="00B629B6" w:rsidRPr="00B76131">
        <w:rPr>
          <w:sz w:val="24"/>
          <w:szCs w:val="24"/>
        </w:rPr>
        <w:t>n or outside of Trust premises.</w:t>
      </w:r>
    </w:p>
    <w:p w14:paraId="2BA6D646" w14:textId="77777777" w:rsidR="00FC280E" w:rsidRPr="00B76131" w:rsidRDefault="00FC280E" w:rsidP="005F06BF">
      <w:pPr>
        <w:jc w:val="both"/>
        <w:rPr>
          <w:sz w:val="24"/>
          <w:szCs w:val="24"/>
          <w:u w:val="single"/>
        </w:rPr>
      </w:pPr>
      <w:r w:rsidRPr="00B76131">
        <w:rPr>
          <w:sz w:val="24"/>
          <w:szCs w:val="24"/>
          <w:u w:val="single"/>
        </w:rPr>
        <w:t>Non-compliant aggressive patient</w:t>
      </w:r>
    </w:p>
    <w:p w14:paraId="2BA6D647" w14:textId="6AE9D330" w:rsidR="00D96D3D" w:rsidRPr="00B76131" w:rsidRDefault="00B629B6" w:rsidP="005F06BF">
      <w:pPr>
        <w:jc w:val="both"/>
        <w:rPr>
          <w:sz w:val="24"/>
          <w:szCs w:val="24"/>
        </w:rPr>
      </w:pPr>
      <w:r w:rsidRPr="00B76131">
        <w:rPr>
          <w:sz w:val="24"/>
          <w:szCs w:val="24"/>
        </w:rPr>
        <w:t xml:space="preserve">Similarly, if a patient </w:t>
      </w:r>
      <w:r w:rsidR="009616A7" w:rsidRPr="00B76131">
        <w:rPr>
          <w:sz w:val="24"/>
          <w:szCs w:val="24"/>
        </w:rPr>
        <w:t>become</w:t>
      </w:r>
      <w:r w:rsidR="009616A7">
        <w:rPr>
          <w:sz w:val="24"/>
          <w:szCs w:val="24"/>
        </w:rPr>
        <w:t>s</w:t>
      </w:r>
      <w:r w:rsidRPr="00B76131">
        <w:rPr>
          <w:sz w:val="24"/>
          <w:szCs w:val="24"/>
        </w:rPr>
        <w:t xml:space="preserve"> aggressive towards staff who are trying to implement COVID</w:t>
      </w:r>
      <w:r w:rsidR="00E45B90">
        <w:rPr>
          <w:sz w:val="24"/>
          <w:szCs w:val="24"/>
        </w:rPr>
        <w:t>-</w:t>
      </w:r>
      <w:r w:rsidRPr="00B76131">
        <w:rPr>
          <w:sz w:val="24"/>
          <w:szCs w:val="24"/>
        </w:rPr>
        <w:t>19 restrictions the common law power of preventing a breach of the peace, or to control a person who is a potential danger to himself or other</w:t>
      </w:r>
      <w:r w:rsidR="00283FDD">
        <w:rPr>
          <w:sz w:val="24"/>
          <w:szCs w:val="24"/>
        </w:rPr>
        <w:t>s</w:t>
      </w:r>
      <w:r w:rsidRPr="00B76131">
        <w:rPr>
          <w:sz w:val="24"/>
          <w:szCs w:val="24"/>
        </w:rPr>
        <w:t xml:space="preserve"> may be used. Again, this is not capacity specific.</w:t>
      </w:r>
    </w:p>
    <w:p w14:paraId="2BA6D648" w14:textId="77777777" w:rsidR="00BB5017" w:rsidRPr="00B76131" w:rsidRDefault="00BB5017" w:rsidP="005F06BF">
      <w:pPr>
        <w:jc w:val="both"/>
        <w:rPr>
          <w:sz w:val="24"/>
          <w:szCs w:val="24"/>
        </w:rPr>
      </w:pPr>
      <w:r w:rsidRPr="00B76131">
        <w:rPr>
          <w:sz w:val="24"/>
          <w:szCs w:val="24"/>
        </w:rPr>
        <w:t xml:space="preserve">In these clinical situations, particularly where the patient is deemed to have capacity, the necessity for continued admission on the ward will need to be considered. This should be considered within the Multi-Disciplinary Team on a case-by-case basis. If it is felt that continued admission in hospital is not necessary to manage risks associated with the psychiatric disorder, then consideration should be given as to whether the risks associated with transmission of COVID-19 would be better dealt with through liaison with the police and the public health consultant. </w:t>
      </w:r>
    </w:p>
    <w:p w14:paraId="2BA6D649" w14:textId="77777777" w:rsidR="005F06BF" w:rsidRDefault="005F06BF" w:rsidP="005F06BF">
      <w:pPr>
        <w:jc w:val="both"/>
        <w:rPr>
          <w:b/>
          <w:sz w:val="24"/>
          <w:szCs w:val="24"/>
        </w:rPr>
      </w:pPr>
      <w:r>
        <w:rPr>
          <w:b/>
          <w:sz w:val="24"/>
          <w:szCs w:val="24"/>
        </w:rPr>
        <w:t>Potential scenarios</w:t>
      </w:r>
    </w:p>
    <w:p w14:paraId="2BA6D64A" w14:textId="77777777" w:rsidR="0013713A" w:rsidRPr="00B76131" w:rsidRDefault="0013713A" w:rsidP="005F06BF">
      <w:pPr>
        <w:jc w:val="both"/>
        <w:rPr>
          <w:sz w:val="24"/>
          <w:szCs w:val="24"/>
          <w:u w:val="single"/>
        </w:rPr>
      </w:pPr>
      <w:r w:rsidRPr="00B76131">
        <w:rPr>
          <w:sz w:val="24"/>
          <w:szCs w:val="24"/>
          <w:u w:val="single"/>
        </w:rPr>
        <w:t>Non-compliant non-aggressive patient cannot be discharged</w:t>
      </w:r>
    </w:p>
    <w:p w14:paraId="2BA6D64B" w14:textId="77777777" w:rsidR="005F06BF" w:rsidRDefault="00BB24E8" w:rsidP="005F06BF">
      <w:pPr>
        <w:pStyle w:val="ListParagraph"/>
        <w:numPr>
          <w:ilvl w:val="0"/>
          <w:numId w:val="5"/>
        </w:numPr>
        <w:jc w:val="both"/>
        <w:rPr>
          <w:sz w:val="24"/>
          <w:szCs w:val="24"/>
        </w:rPr>
      </w:pPr>
      <w:r w:rsidRPr="005F06BF">
        <w:rPr>
          <w:sz w:val="24"/>
          <w:szCs w:val="24"/>
        </w:rPr>
        <w:t xml:space="preserve">informal </w:t>
      </w:r>
      <w:r w:rsidR="0013713A" w:rsidRPr="005F06BF">
        <w:rPr>
          <w:sz w:val="24"/>
          <w:szCs w:val="24"/>
        </w:rPr>
        <w:t xml:space="preserve">patient has capacity </w:t>
      </w:r>
      <w:r w:rsidR="005F06BF">
        <w:rPr>
          <w:sz w:val="24"/>
          <w:szCs w:val="24"/>
        </w:rPr>
        <w:t xml:space="preserve"> or </w:t>
      </w:r>
      <w:r w:rsidRPr="005F06BF">
        <w:rPr>
          <w:sz w:val="24"/>
          <w:szCs w:val="24"/>
        </w:rPr>
        <w:t>detained under the MHA</w:t>
      </w:r>
      <w:r w:rsidR="00FB6443" w:rsidRPr="005F06BF">
        <w:rPr>
          <w:sz w:val="24"/>
          <w:szCs w:val="24"/>
        </w:rPr>
        <w:t xml:space="preserve"> regardless of capacity</w:t>
      </w:r>
    </w:p>
    <w:p w14:paraId="2BA6D64C" w14:textId="77777777" w:rsidR="005F06BF" w:rsidRDefault="00BB24E8" w:rsidP="005F06BF">
      <w:pPr>
        <w:pStyle w:val="ListParagraph"/>
        <w:numPr>
          <w:ilvl w:val="0"/>
          <w:numId w:val="5"/>
        </w:numPr>
        <w:jc w:val="both"/>
        <w:rPr>
          <w:sz w:val="24"/>
          <w:szCs w:val="24"/>
        </w:rPr>
      </w:pPr>
      <w:r w:rsidRPr="005F06BF">
        <w:rPr>
          <w:sz w:val="24"/>
          <w:szCs w:val="24"/>
        </w:rPr>
        <w:t xml:space="preserve"> </w:t>
      </w:r>
      <w:r w:rsidR="005F06BF">
        <w:rPr>
          <w:sz w:val="24"/>
          <w:szCs w:val="24"/>
        </w:rPr>
        <w:t xml:space="preserve">unable to be discharged </w:t>
      </w:r>
    </w:p>
    <w:p w14:paraId="2BA6D64D" w14:textId="01408949" w:rsidR="005F06BF" w:rsidRDefault="00E45B90" w:rsidP="005F06BF">
      <w:pPr>
        <w:pStyle w:val="ListParagraph"/>
        <w:numPr>
          <w:ilvl w:val="0"/>
          <w:numId w:val="5"/>
        </w:numPr>
        <w:jc w:val="both"/>
        <w:rPr>
          <w:sz w:val="24"/>
          <w:szCs w:val="24"/>
        </w:rPr>
      </w:pPr>
      <w:r>
        <w:rPr>
          <w:sz w:val="24"/>
          <w:szCs w:val="24"/>
        </w:rPr>
        <w:t>risk of transmission of COVID-</w:t>
      </w:r>
      <w:r w:rsidR="0013713A" w:rsidRPr="005F06BF">
        <w:rPr>
          <w:sz w:val="24"/>
          <w:szCs w:val="24"/>
        </w:rPr>
        <w:t xml:space="preserve">19 </w:t>
      </w:r>
    </w:p>
    <w:p w14:paraId="2BA6D64E" w14:textId="77777777" w:rsidR="005F06BF" w:rsidRDefault="0013713A" w:rsidP="005F06BF">
      <w:pPr>
        <w:pStyle w:val="ListParagraph"/>
        <w:numPr>
          <w:ilvl w:val="0"/>
          <w:numId w:val="5"/>
        </w:numPr>
        <w:jc w:val="both"/>
        <w:rPr>
          <w:sz w:val="24"/>
          <w:szCs w:val="24"/>
        </w:rPr>
      </w:pPr>
      <w:r w:rsidRPr="005F06BF">
        <w:rPr>
          <w:sz w:val="24"/>
          <w:szCs w:val="24"/>
        </w:rPr>
        <w:t>not follow</w:t>
      </w:r>
      <w:r w:rsidR="005F06BF">
        <w:rPr>
          <w:sz w:val="24"/>
          <w:szCs w:val="24"/>
        </w:rPr>
        <w:t>ing</w:t>
      </w:r>
      <w:r w:rsidRPr="005F06BF">
        <w:rPr>
          <w:sz w:val="24"/>
          <w:szCs w:val="24"/>
        </w:rPr>
        <w:t xml:space="preserve"> the self- isolating guidance</w:t>
      </w:r>
    </w:p>
    <w:p w14:paraId="2BA6D64F" w14:textId="77777777" w:rsidR="00FB6443" w:rsidRPr="005F06BF" w:rsidRDefault="000835F6" w:rsidP="005F06BF">
      <w:pPr>
        <w:pStyle w:val="ListParagraph"/>
        <w:numPr>
          <w:ilvl w:val="0"/>
          <w:numId w:val="5"/>
        </w:numPr>
        <w:jc w:val="both"/>
        <w:rPr>
          <w:sz w:val="24"/>
          <w:szCs w:val="24"/>
        </w:rPr>
      </w:pPr>
      <w:r w:rsidRPr="005F06BF">
        <w:rPr>
          <w:sz w:val="24"/>
          <w:szCs w:val="24"/>
        </w:rPr>
        <w:t>staff have exhausted all options to engage and obta</w:t>
      </w:r>
      <w:r w:rsidR="00FB6443" w:rsidRPr="005F06BF">
        <w:rPr>
          <w:sz w:val="24"/>
          <w:szCs w:val="24"/>
        </w:rPr>
        <w:t xml:space="preserve">in consent from the patient – </w:t>
      </w:r>
    </w:p>
    <w:p w14:paraId="2BA6D650" w14:textId="23DF6D31" w:rsidR="005F06BF" w:rsidRDefault="00FB6443" w:rsidP="005F06BF">
      <w:pPr>
        <w:jc w:val="both"/>
        <w:rPr>
          <w:sz w:val="24"/>
          <w:szCs w:val="24"/>
        </w:rPr>
      </w:pPr>
      <w:r>
        <w:rPr>
          <w:sz w:val="24"/>
          <w:szCs w:val="24"/>
        </w:rPr>
        <w:t>T</w:t>
      </w:r>
      <w:r w:rsidR="0013713A" w:rsidRPr="00B76131">
        <w:rPr>
          <w:sz w:val="24"/>
          <w:szCs w:val="24"/>
        </w:rPr>
        <w:t>hen staff</w:t>
      </w:r>
      <w:r w:rsidR="000835F6" w:rsidRPr="00B76131">
        <w:rPr>
          <w:sz w:val="24"/>
          <w:szCs w:val="24"/>
        </w:rPr>
        <w:t xml:space="preserve"> can utilise the </w:t>
      </w:r>
      <w:r w:rsidR="00AB2C6E" w:rsidRPr="00B76131">
        <w:rPr>
          <w:sz w:val="24"/>
          <w:szCs w:val="24"/>
        </w:rPr>
        <w:t xml:space="preserve">aforementioned </w:t>
      </w:r>
      <w:r w:rsidR="00AB2C6E">
        <w:rPr>
          <w:sz w:val="24"/>
          <w:szCs w:val="24"/>
        </w:rPr>
        <w:t xml:space="preserve"> </w:t>
      </w:r>
      <w:r w:rsidR="00AB2C6E" w:rsidRPr="00B76131">
        <w:rPr>
          <w:sz w:val="24"/>
          <w:szCs w:val="24"/>
        </w:rPr>
        <w:t>S</w:t>
      </w:r>
      <w:r w:rsidR="000835F6" w:rsidRPr="00B76131">
        <w:rPr>
          <w:sz w:val="24"/>
          <w:szCs w:val="24"/>
        </w:rPr>
        <w:t>. 3(1) Criminal Law Act 1967 – this enables a person to use reasonable force in the circumstances to prevent a crime. The purposeful spread of COVID</w:t>
      </w:r>
      <w:r w:rsidR="00E45B90">
        <w:rPr>
          <w:sz w:val="24"/>
          <w:szCs w:val="24"/>
        </w:rPr>
        <w:t>-</w:t>
      </w:r>
      <w:r w:rsidR="000835F6" w:rsidRPr="00B76131">
        <w:rPr>
          <w:sz w:val="24"/>
          <w:szCs w:val="24"/>
        </w:rPr>
        <w:t xml:space="preserve">19 is considered a criminal offence. This power enables staff to restrain and detain in the short term patients who may be assessed as being an immediate risk to </w:t>
      </w:r>
      <w:r w:rsidR="000835F6" w:rsidRPr="00B76131">
        <w:rPr>
          <w:sz w:val="24"/>
          <w:szCs w:val="24"/>
        </w:rPr>
        <w:lastRenderedPageBreak/>
        <w:t>other members of the public if discharged or allowed to leave. It can be used regardless of capacity. It can be used on or outside of Trust premises.</w:t>
      </w:r>
      <w:r w:rsidR="0013713A" w:rsidRPr="00B76131">
        <w:rPr>
          <w:sz w:val="24"/>
          <w:szCs w:val="24"/>
        </w:rPr>
        <w:t xml:space="preserve">  </w:t>
      </w:r>
    </w:p>
    <w:p w14:paraId="2BA6D651" w14:textId="77777777" w:rsidR="000835F6" w:rsidRPr="00B76131" w:rsidRDefault="000835F6" w:rsidP="005F06BF">
      <w:pPr>
        <w:jc w:val="both"/>
        <w:rPr>
          <w:sz w:val="24"/>
          <w:szCs w:val="24"/>
          <w:u w:val="single"/>
        </w:rPr>
      </w:pPr>
      <w:r w:rsidRPr="00B76131">
        <w:rPr>
          <w:sz w:val="24"/>
          <w:szCs w:val="24"/>
          <w:u w:val="single"/>
        </w:rPr>
        <w:t>Non-compliant aggressive patient cannot be discharged</w:t>
      </w:r>
    </w:p>
    <w:p w14:paraId="2BA6D652" w14:textId="77777777" w:rsidR="005F06BF" w:rsidRDefault="009616A7" w:rsidP="005F06BF">
      <w:pPr>
        <w:pStyle w:val="ListParagraph"/>
        <w:numPr>
          <w:ilvl w:val="0"/>
          <w:numId w:val="6"/>
        </w:numPr>
        <w:jc w:val="both"/>
        <w:rPr>
          <w:sz w:val="24"/>
          <w:szCs w:val="24"/>
        </w:rPr>
      </w:pPr>
      <w:r w:rsidRPr="005F06BF">
        <w:rPr>
          <w:sz w:val="24"/>
          <w:szCs w:val="24"/>
        </w:rPr>
        <w:t>informal patient</w:t>
      </w:r>
      <w:r w:rsidR="000835F6" w:rsidRPr="005F06BF">
        <w:rPr>
          <w:sz w:val="24"/>
          <w:szCs w:val="24"/>
        </w:rPr>
        <w:t xml:space="preserve"> has capacity</w:t>
      </w:r>
      <w:r w:rsidR="005F06BF">
        <w:rPr>
          <w:sz w:val="24"/>
          <w:szCs w:val="24"/>
        </w:rPr>
        <w:t xml:space="preserve"> or </w:t>
      </w:r>
      <w:r w:rsidR="00BB24E8" w:rsidRPr="005F06BF">
        <w:rPr>
          <w:sz w:val="24"/>
          <w:szCs w:val="24"/>
        </w:rPr>
        <w:t>detained under MHA</w:t>
      </w:r>
      <w:r w:rsidR="000835F6" w:rsidRPr="005F06BF">
        <w:rPr>
          <w:sz w:val="24"/>
          <w:szCs w:val="24"/>
        </w:rPr>
        <w:t xml:space="preserve"> </w:t>
      </w:r>
      <w:r w:rsidRPr="005F06BF">
        <w:rPr>
          <w:sz w:val="24"/>
          <w:szCs w:val="24"/>
        </w:rPr>
        <w:t xml:space="preserve">regardless of capacity, </w:t>
      </w:r>
    </w:p>
    <w:p w14:paraId="2BA6D653" w14:textId="77777777" w:rsidR="005F06BF" w:rsidRDefault="000835F6" w:rsidP="005F06BF">
      <w:pPr>
        <w:pStyle w:val="ListParagraph"/>
        <w:numPr>
          <w:ilvl w:val="0"/>
          <w:numId w:val="6"/>
        </w:numPr>
        <w:jc w:val="both"/>
        <w:rPr>
          <w:sz w:val="24"/>
          <w:szCs w:val="24"/>
        </w:rPr>
      </w:pPr>
      <w:r w:rsidRPr="005F06BF">
        <w:rPr>
          <w:sz w:val="24"/>
          <w:szCs w:val="24"/>
        </w:rPr>
        <w:t>unable</w:t>
      </w:r>
      <w:r w:rsidR="005F06BF">
        <w:rPr>
          <w:sz w:val="24"/>
          <w:szCs w:val="24"/>
        </w:rPr>
        <w:t xml:space="preserve"> to be discharged</w:t>
      </w:r>
    </w:p>
    <w:p w14:paraId="2BA6D654" w14:textId="4C29481F" w:rsidR="005F06BF" w:rsidRDefault="00E45B90" w:rsidP="005F06BF">
      <w:pPr>
        <w:pStyle w:val="ListParagraph"/>
        <w:numPr>
          <w:ilvl w:val="0"/>
          <w:numId w:val="6"/>
        </w:numPr>
        <w:jc w:val="both"/>
        <w:rPr>
          <w:sz w:val="24"/>
          <w:szCs w:val="24"/>
        </w:rPr>
      </w:pPr>
      <w:r>
        <w:rPr>
          <w:sz w:val="24"/>
          <w:szCs w:val="24"/>
        </w:rPr>
        <w:t>risk of transmission of COVID-</w:t>
      </w:r>
      <w:r w:rsidR="000835F6" w:rsidRPr="005F06BF">
        <w:rPr>
          <w:sz w:val="24"/>
          <w:szCs w:val="24"/>
        </w:rPr>
        <w:t>1</w:t>
      </w:r>
      <w:r w:rsidR="005F06BF">
        <w:rPr>
          <w:sz w:val="24"/>
          <w:szCs w:val="24"/>
        </w:rPr>
        <w:t xml:space="preserve">9 </w:t>
      </w:r>
    </w:p>
    <w:p w14:paraId="2BA6D655" w14:textId="77777777" w:rsidR="005F06BF" w:rsidRDefault="00FB6443" w:rsidP="005F06BF">
      <w:pPr>
        <w:pStyle w:val="ListParagraph"/>
        <w:numPr>
          <w:ilvl w:val="0"/>
          <w:numId w:val="6"/>
        </w:numPr>
        <w:jc w:val="both"/>
        <w:rPr>
          <w:sz w:val="24"/>
          <w:szCs w:val="24"/>
        </w:rPr>
      </w:pPr>
      <w:r w:rsidRPr="005F06BF">
        <w:rPr>
          <w:sz w:val="24"/>
          <w:szCs w:val="24"/>
        </w:rPr>
        <w:t>not follow</w:t>
      </w:r>
      <w:r w:rsidR="005F06BF">
        <w:rPr>
          <w:sz w:val="24"/>
          <w:szCs w:val="24"/>
        </w:rPr>
        <w:t>ing</w:t>
      </w:r>
      <w:r w:rsidRPr="005F06BF">
        <w:rPr>
          <w:sz w:val="24"/>
          <w:szCs w:val="24"/>
        </w:rPr>
        <w:t xml:space="preserve"> the self-</w:t>
      </w:r>
      <w:r w:rsidR="000835F6" w:rsidRPr="005F06BF">
        <w:rPr>
          <w:sz w:val="24"/>
          <w:szCs w:val="24"/>
        </w:rPr>
        <w:t xml:space="preserve">isolating </w:t>
      </w:r>
      <w:r w:rsidRPr="005F06BF">
        <w:rPr>
          <w:sz w:val="24"/>
          <w:szCs w:val="24"/>
        </w:rPr>
        <w:t>guidance</w:t>
      </w:r>
      <w:r w:rsidR="005F06BF">
        <w:rPr>
          <w:sz w:val="24"/>
          <w:szCs w:val="24"/>
        </w:rPr>
        <w:t xml:space="preserve"> </w:t>
      </w:r>
    </w:p>
    <w:p w14:paraId="2BA6D656" w14:textId="77777777" w:rsidR="00D41CD8" w:rsidRDefault="000835F6" w:rsidP="005F06BF">
      <w:pPr>
        <w:pStyle w:val="ListParagraph"/>
        <w:numPr>
          <w:ilvl w:val="0"/>
          <w:numId w:val="6"/>
        </w:numPr>
        <w:jc w:val="both"/>
        <w:rPr>
          <w:sz w:val="24"/>
          <w:szCs w:val="24"/>
        </w:rPr>
      </w:pPr>
      <w:r w:rsidRPr="005F06BF">
        <w:rPr>
          <w:sz w:val="24"/>
          <w:szCs w:val="24"/>
        </w:rPr>
        <w:t>staff have exhausted all options to engage and obtain consent from the patient</w:t>
      </w:r>
    </w:p>
    <w:p w14:paraId="2BA6D657" w14:textId="66C0AAB2" w:rsidR="00FB6443" w:rsidRPr="005F06BF" w:rsidRDefault="000835F6" w:rsidP="005F06BF">
      <w:pPr>
        <w:pStyle w:val="ListParagraph"/>
        <w:numPr>
          <w:ilvl w:val="0"/>
          <w:numId w:val="6"/>
        </w:numPr>
        <w:jc w:val="both"/>
        <w:rPr>
          <w:sz w:val="24"/>
          <w:szCs w:val="24"/>
        </w:rPr>
      </w:pPr>
      <w:r w:rsidRPr="005F06BF">
        <w:rPr>
          <w:sz w:val="24"/>
          <w:szCs w:val="24"/>
        </w:rPr>
        <w:t>patient became aggressive towards staff who are trying to</w:t>
      </w:r>
      <w:r w:rsidR="00D41CD8">
        <w:rPr>
          <w:sz w:val="24"/>
          <w:szCs w:val="24"/>
        </w:rPr>
        <w:t xml:space="preserve"> implement COVID</w:t>
      </w:r>
      <w:r w:rsidR="00E45B90">
        <w:rPr>
          <w:sz w:val="24"/>
          <w:szCs w:val="24"/>
        </w:rPr>
        <w:t>-</w:t>
      </w:r>
      <w:r w:rsidR="00D41CD8">
        <w:rPr>
          <w:sz w:val="24"/>
          <w:szCs w:val="24"/>
        </w:rPr>
        <w:t>19 restrictions</w:t>
      </w:r>
    </w:p>
    <w:p w14:paraId="2BA6D658" w14:textId="77777777" w:rsidR="000835F6" w:rsidRPr="00B76131" w:rsidRDefault="00FB6443" w:rsidP="005F06BF">
      <w:pPr>
        <w:jc w:val="both"/>
        <w:rPr>
          <w:sz w:val="24"/>
          <w:szCs w:val="24"/>
        </w:rPr>
      </w:pPr>
      <w:r>
        <w:rPr>
          <w:sz w:val="24"/>
          <w:szCs w:val="24"/>
        </w:rPr>
        <w:t>T</w:t>
      </w:r>
      <w:r w:rsidR="000835F6" w:rsidRPr="00B76131">
        <w:rPr>
          <w:sz w:val="24"/>
          <w:szCs w:val="24"/>
        </w:rPr>
        <w:t xml:space="preserve">he common law power of preventing a breach of the peace, or to control a person who is a potential danger to himself or other may be used. </w:t>
      </w:r>
    </w:p>
    <w:p w14:paraId="2BA6D659" w14:textId="08615BEA" w:rsidR="00936502" w:rsidRDefault="00B11EEA" w:rsidP="005F06BF">
      <w:pPr>
        <w:jc w:val="both"/>
        <w:rPr>
          <w:sz w:val="24"/>
          <w:szCs w:val="24"/>
        </w:rPr>
      </w:pPr>
      <w:r w:rsidRPr="00B76131">
        <w:rPr>
          <w:sz w:val="24"/>
          <w:szCs w:val="24"/>
        </w:rPr>
        <w:t>W</w:t>
      </w:r>
      <w:r w:rsidR="000835F6" w:rsidRPr="00B76131">
        <w:rPr>
          <w:sz w:val="24"/>
          <w:szCs w:val="24"/>
        </w:rPr>
        <w:t xml:space="preserve">here a patient cannot be discharged </w:t>
      </w:r>
      <w:r w:rsidRPr="00B76131">
        <w:rPr>
          <w:sz w:val="24"/>
          <w:szCs w:val="24"/>
        </w:rPr>
        <w:t xml:space="preserve">staff </w:t>
      </w:r>
      <w:r w:rsidR="000835F6" w:rsidRPr="00B76131">
        <w:rPr>
          <w:sz w:val="24"/>
          <w:szCs w:val="24"/>
        </w:rPr>
        <w:t>must contact</w:t>
      </w:r>
      <w:r w:rsidR="0050253E" w:rsidRPr="00B76131">
        <w:rPr>
          <w:sz w:val="24"/>
          <w:szCs w:val="24"/>
        </w:rPr>
        <w:t xml:space="preserve"> the police </w:t>
      </w:r>
      <w:r w:rsidRPr="00B76131">
        <w:rPr>
          <w:sz w:val="24"/>
          <w:szCs w:val="24"/>
        </w:rPr>
        <w:t>and inform them</w:t>
      </w:r>
      <w:r w:rsidR="004D43CD" w:rsidRPr="00B76131">
        <w:rPr>
          <w:sz w:val="24"/>
          <w:szCs w:val="24"/>
        </w:rPr>
        <w:t xml:space="preserve"> a potential crime is being committed in relation to the failure of t</w:t>
      </w:r>
      <w:r w:rsidRPr="00B76131">
        <w:rPr>
          <w:sz w:val="24"/>
          <w:szCs w:val="24"/>
        </w:rPr>
        <w:t>he patient to self -isolate in relation to COVID</w:t>
      </w:r>
      <w:r w:rsidR="00E45B90">
        <w:rPr>
          <w:sz w:val="24"/>
          <w:szCs w:val="24"/>
        </w:rPr>
        <w:t>-</w:t>
      </w:r>
      <w:r w:rsidR="004D43CD" w:rsidRPr="00B76131">
        <w:rPr>
          <w:sz w:val="24"/>
          <w:szCs w:val="24"/>
        </w:rPr>
        <w:t>19.</w:t>
      </w:r>
      <w:r w:rsidR="0051331E" w:rsidRPr="00B76131">
        <w:rPr>
          <w:sz w:val="24"/>
          <w:szCs w:val="24"/>
        </w:rPr>
        <w:t xml:space="preserve"> The patient must be informed that the police will be contacted.</w:t>
      </w:r>
    </w:p>
    <w:p w14:paraId="2BA6D65A" w14:textId="77777777" w:rsidR="004D43CD" w:rsidRPr="00B76131" w:rsidRDefault="00283FDD" w:rsidP="005F06BF">
      <w:pPr>
        <w:jc w:val="both"/>
        <w:rPr>
          <w:sz w:val="24"/>
          <w:szCs w:val="24"/>
        </w:rPr>
      </w:pPr>
      <w:r>
        <w:rPr>
          <w:b/>
          <w:sz w:val="24"/>
          <w:szCs w:val="24"/>
        </w:rPr>
        <w:t>Process for calling a public health consultant:-</w:t>
      </w:r>
      <w:r w:rsidR="0051331E" w:rsidRPr="00B76131">
        <w:rPr>
          <w:sz w:val="24"/>
          <w:szCs w:val="24"/>
        </w:rPr>
        <w:t xml:space="preserve">   </w:t>
      </w:r>
    </w:p>
    <w:p w14:paraId="2BA6D65B" w14:textId="77777777" w:rsidR="004D43CD" w:rsidRPr="00B76131" w:rsidRDefault="004D43CD" w:rsidP="005F06BF">
      <w:pPr>
        <w:jc w:val="both"/>
        <w:rPr>
          <w:sz w:val="24"/>
          <w:szCs w:val="24"/>
        </w:rPr>
      </w:pPr>
      <w:r w:rsidRPr="00B76131">
        <w:rPr>
          <w:sz w:val="24"/>
          <w:szCs w:val="24"/>
        </w:rPr>
        <w:t xml:space="preserve">The staff must inform the public health consultant on the following numbers </w:t>
      </w:r>
    </w:p>
    <w:p w14:paraId="2BA6D65C" w14:textId="6B39D8D7" w:rsidR="000835F6" w:rsidRPr="00B76131" w:rsidRDefault="00E45B90" w:rsidP="005F06BF">
      <w:pPr>
        <w:jc w:val="both"/>
        <w:rPr>
          <w:sz w:val="24"/>
          <w:szCs w:val="24"/>
        </w:rPr>
      </w:pPr>
      <w:r>
        <w:rPr>
          <w:sz w:val="24"/>
          <w:szCs w:val="24"/>
        </w:rPr>
        <w:t>0344 2254 524 option 1 (</w:t>
      </w:r>
      <w:r w:rsidR="0051331E" w:rsidRPr="00B76131">
        <w:rPr>
          <w:sz w:val="24"/>
          <w:szCs w:val="24"/>
        </w:rPr>
        <w:t>Clinical) in hours</w:t>
      </w:r>
    </w:p>
    <w:p w14:paraId="2BA6D65D" w14:textId="040AF4FB" w:rsidR="0051331E" w:rsidRPr="00B76131" w:rsidRDefault="0051331E" w:rsidP="005F06BF">
      <w:pPr>
        <w:jc w:val="both"/>
        <w:rPr>
          <w:sz w:val="24"/>
          <w:szCs w:val="24"/>
        </w:rPr>
      </w:pPr>
      <w:r w:rsidRPr="00B76131">
        <w:rPr>
          <w:sz w:val="24"/>
          <w:szCs w:val="24"/>
        </w:rPr>
        <w:t>0344 2254 524 select option 1</w:t>
      </w:r>
      <w:r w:rsidR="00E45B90">
        <w:rPr>
          <w:sz w:val="24"/>
          <w:szCs w:val="24"/>
        </w:rPr>
        <w:t xml:space="preserve"> </w:t>
      </w:r>
      <w:r w:rsidRPr="00B76131">
        <w:rPr>
          <w:sz w:val="24"/>
          <w:szCs w:val="24"/>
        </w:rPr>
        <w:t>(Clinical) out of hours.</w:t>
      </w:r>
    </w:p>
    <w:p w14:paraId="2BA6D65E" w14:textId="1A0FCD0B" w:rsidR="0051331E" w:rsidRPr="00B76131" w:rsidRDefault="0051331E" w:rsidP="005F06BF">
      <w:pPr>
        <w:jc w:val="both"/>
        <w:rPr>
          <w:sz w:val="24"/>
          <w:szCs w:val="24"/>
        </w:rPr>
      </w:pPr>
      <w:r w:rsidRPr="00B76131">
        <w:rPr>
          <w:sz w:val="24"/>
          <w:szCs w:val="24"/>
        </w:rPr>
        <w:t>The staff must inform the Public Health Consultant that they have a patient who is refusing to self -isolate and has symptoms of or has been diagnosed with C</w:t>
      </w:r>
      <w:r w:rsidR="00B11EEA" w:rsidRPr="00B76131">
        <w:rPr>
          <w:sz w:val="24"/>
          <w:szCs w:val="24"/>
        </w:rPr>
        <w:t>OVID</w:t>
      </w:r>
      <w:r w:rsidR="00E45B90">
        <w:rPr>
          <w:sz w:val="24"/>
          <w:szCs w:val="24"/>
        </w:rPr>
        <w:t>-</w:t>
      </w:r>
      <w:r w:rsidRPr="00B76131">
        <w:rPr>
          <w:sz w:val="24"/>
          <w:szCs w:val="24"/>
        </w:rPr>
        <w:t>19.</w:t>
      </w:r>
    </w:p>
    <w:p w14:paraId="2BA6D65F" w14:textId="77777777" w:rsidR="0051331E" w:rsidRPr="00B76131" w:rsidRDefault="0051331E" w:rsidP="005F06BF">
      <w:pPr>
        <w:jc w:val="both"/>
        <w:rPr>
          <w:sz w:val="24"/>
          <w:szCs w:val="24"/>
        </w:rPr>
      </w:pPr>
      <w:r w:rsidRPr="00B76131">
        <w:rPr>
          <w:sz w:val="24"/>
          <w:szCs w:val="24"/>
        </w:rPr>
        <w:t xml:space="preserve">The public health consultant will advise on a course of </w:t>
      </w:r>
      <w:r w:rsidR="00B11EEA" w:rsidRPr="00B76131">
        <w:rPr>
          <w:sz w:val="24"/>
          <w:szCs w:val="24"/>
        </w:rPr>
        <w:t>action and will request that an</w:t>
      </w:r>
      <w:r w:rsidRPr="00B76131">
        <w:rPr>
          <w:sz w:val="24"/>
          <w:szCs w:val="24"/>
        </w:rPr>
        <w:t xml:space="preserve"> incident meeting will need to take place.  The Public Health has the powers to authorise enforced isolation. This will include a Public Health Consultant, staff and may include the police or any other agency that the Public Health Consultant wishes to have present.   </w:t>
      </w:r>
    </w:p>
    <w:p w14:paraId="2BA6D660" w14:textId="77777777" w:rsidR="002758BB" w:rsidRPr="002758BB" w:rsidRDefault="002758BB" w:rsidP="002D2F78">
      <w:pPr>
        <w:pStyle w:val="Default"/>
        <w:spacing w:after="200"/>
        <w:jc w:val="both"/>
        <w:rPr>
          <w:rFonts w:asciiTheme="minorHAnsi" w:hAnsiTheme="minorHAnsi"/>
          <w:b/>
        </w:rPr>
      </w:pPr>
      <w:r>
        <w:rPr>
          <w:rFonts w:asciiTheme="minorHAnsi" w:hAnsiTheme="minorHAnsi"/>
          <w:b/>
        </w:rPr>
        <w:t>P</w:t>
      </w:r>
      <w:r w:rsidR="004D5760" w:rsidRPr="002758BB">
        <w:rPr>
          <w:rFonts w:asciiTheme="minorHAnsi" w:hAnsiTheme="minorHAnsi"/>
          <w:b/>
        </w:rPr>
        <w:t>atients who lack capacity</w:t>
      </w:r>
      <w:r w:rsidR="00BB24E8" w:rsidRPr="002758BB">
        <w:rPr>
          <w:rFonts w:asciiTheme="minorHAnsi" w:hAnsiTheme="minorHAnsi"/>
          <w:b/>
        </w:rPr>
        <w:t xml:space="preserve"> under DoLS</w:t>
      </w:r>
      <w:r w:rsidRPr="002758BB">
        <w:rPr>
          <w:rFonts w:asciiTheme="minorHAnsi" w:hAnsiTheme="minorHAnsi"/>
          <w:b/>
        </w:rPr>
        <w:t xml:space="preserve"> </w:t>
      </w:r>
    </w:p>
    <w:p w14:paraId="2BA6D661" w14:textId="77777777" w:rsidR="002758BB" w:rsidRDefault="002758BB" w:rsidP="002D2F78">
      <w:pPr>
        <w:autoSpaceDE w:val="0"/>
        <w:autoSpaceDN w:val="0"/>
        <w:adjustRightInd w:val="0"/>
        <w:spacing w:line="240" w:lineRule="auto"/>
        <w:jc w:val="both"/>
        <w:rPr>
          <w:rFonts w:cs="Arial"/>
          <w:color w:val="000000"/>
          <w:sz w:val="24"/>
          <w:szCs w:val="24"/>
        </w:rPr>
      </w:pPr>
      <w:r w:rsidRPr="002758BB">
        <w:rPr>
          <w:sz w:val="24"/>
          <w:szCs w:val="24"/>
        </w:rPr>
        <w:t xml:space="preserve">A person is considered to be deprived of their liberty if he or she is lacking in capacity to consent to the arrangements for their care and treatment, is under continuous supervision and control, and is not free to leave. </w:t>
      </w:r>
      <w:r w:rsidRPr="002758BB">
        <w:rPr>
          <w:rFonts w:cs="Arial"/>
          <w:color w:val="000000"/>
          <w:sz w:val="24"/>
          <w:szCs w:val="24"/>
        </w:rPr>
        <w:t xml:space="preserve">Staff should continue to seek consent on all aspects of care and treatment </w:t>
      </w:r>
      <w:r w:rsidR="002D2F78">
        <w:rPr>
          <w:rFonts w:cs="Arial"/>
          <w:color w:val="000000"/>
          <w:sz w:val="24"/>
          <w:szCs w:val="24"/>
        </w:rPr>
        <w:t xml:space="preserve">to which patients can consent. </w:t>
      </w:r>
    </w:p>
    <w:p w14:paraId="2BA6D662" w14:textId="77777777" w:rsidR="002D2F78" w:rsidRPr="002D2F78" w:rsidRDefault="002D2F78" w:rsidP="002D2F78">
      <w:pPr>
        <w:autoSpaceDE w:val="0"/>
        <w:autoSpaceDN w:val="0"/>
        <w:adjustRightInd w:val="0"/>
        <w:spacing w:line="240" w:lineRule="auto"/>
        <w:jc w:val="both"/>
        <w:rPr>
          <w:rFonts w:cs="Arial"/>
          <w:color w:val="000000"/>
          <w:sz w:val="24"/>
          <w:szCs w:val="24"/>
        </w:rPr>
      </w:pPr>
    </w:p>
    <w:p w14:paraId="2BA6D663" w14:textId="77777777" w:rsidR="002758BB" w:rsidRDefault="002758BB" w:rsidP="002D2F78">
      <w:pPr>
        <w:autoSpaceDE w:val="0"/>
        <w:autoSpaceDN w:val="0"/>
        <w:adjustRightInd w:val="0"/>
        <w:spacing w:line="240" w:lineRule="auto"/>
        <w:jc w:val="both"/>
        <w:rPr>
          <w:rFonts w:cs="Arial"/>
          <w:b/>
          <w:color w:val="000000"/>
          <w:sz w:val="24"/>
          <w:szCs w:val="24"/>
        </w:rPr>
      </w:pPr>
      <w:r w:rsidRPr="002758BB">
        <w:rPr>
          <w:rFonts w:cs="Arial"/>
          <w:b/>
          <w:color w:val="000000"/>
          <w:sz w:val="24"/>
          <w:szCs w:val="24"/>
        </w:rPr>
        <w:t xml:space="preserve">Restrictive measures should be absolutely necessary to prevent harm to that person. </w:t>
      </w:r>
      <w:r w:rsidRPr="00682279">
        <w:rPr>
          <w:rFonts w:cs="Arial"/>
          <w:b/>
          <w:color w:val="000000"/>
          <w:sz w:val="24"/>
          <w:szCs w:val="24"/>
        </w:rPr>
        <w:t xml:space="preserve">DoLS cannot be used if the arrangements are purely to prevent harm to others. </w:t>
      </w:r>
    </w:p>
    <w:p w14:paraId="2BA6D664" w14:textId="77777777" w:rsidR="002758BB" w:rsidRPr="00606306" w:rsidRDefault="002758BB" w:rsidP="002D2F78">
      <w:pPr>
        <w:autoSpaceDE w:val="0"/>
        <w:autoSpaceDN w:val="0"/>
        <w:adjustRightInd w:val="0"/>
        <w:spacing w:line="240" w:lineRule="auto"/>
        <w:jc w:val="both"/>
        <w:rPr>
          <w:rFonts w:cs="Arial"/>
          <w:b/>
          <w:color w:val="000000"/>
          <w:sz w:val="24"/>
          <w:szCs w:val="24"/>
        </w:rPr>
      </w:pPr>
      <w:r w:rsidRPr="00606306">
        <w:rPr>
          <w:rFonts w:cs="Arial"/>
          <w:color w:val="000000"/>
          <w:sz w:val="24"/>
          <w:szCs w:val="24"/>
        </w:rPr>
        <w:lastRenderedPageBreak/>
        <w:t>If the reasons for the isolation are purely to prevent harm to others or the mainten</w:t>
      </w:r>
      <w:r w:rsidRPr="002758BB">
        <w:rPr>
          <w:rFonts w:cs="Arial"/>
          <w:color w:val="000000"/>
          <w:sz w:val="24"/>
          <w:szCs w:val="24"/>
        </w:rPr>
        <w:t xml:space="preserve">ance of public health, then public health officer </w:t>
      </w:r>
      <w:r w:rsidRPr="00606306">
        <w:rPr>
          <w:rFonts w:cs="Arial"/>
          <w:color w:val="000000"/>
          <w:sz w:val="24"/>
          <w:szCs w:val="24"/>
        </w:rPr>
        <w:t>powers should be used.  If the person’s relev</w:t>
      </w:r>
      <w:r w:rsidRPr="002758BB">
        <w:rPr>
          <w:rFonts w:cs="Arial"/>
          <w:color w:val="000000"/>
          <w:sz w:val="24"/>
          <w:szCs w:val="24"/>
        </w:rPr>
        <w:t>ant capacity fluctuates, the public health officer</w:t>
      </w:r>
      <w:r w:rsidRPr="00606306">
        <w:rPr>
          <w:rFonts w:cs="Arial"/>
          <w:color w:val="000000"/>
          <w:sz w:val="24"/>
          <w:szCs w:val="24"/>
        </w:rPr>
        <w:t xml:space="preserve"> powers may be more appropriate. </w:t>
      </w:r>
    </w:p>
    <w:p w14:paraId="2BA6D665" w14:textId="77777777" w:rsidR="002D2F78" w:rsidRDefault="002D2F78" w:rsidP="002D2F78">
      <w:pPr>
        <w:pStyle w:val="Default"/>
        <w:spacing w:after="200"/>
        <w:jc w:val="both"/>
        <w:rPr>
          <w:rFonts w:asciiTheme="minorHAnsi" w:hAnsiTheme="minorHAnsi"/>
          <w:color w:val="auto"/>
        </w:rPr>
      </w:pPr>
    </w:p>
    <w:p w14:paraId="2BA6D666" w14:textId="39464BA9" w:rsidR="00C334D1" w:rsidRPr="002758BB" w:rsidRDefault="004D5760" w:rsidP="002D2F78">
      <w:pPr>
        <w:pStyle w:val="Default"/>
        <w:spacing w:after="200"/>
        <w:jc w:val="both"/>
        <w:rPr>
          <w:rFonts w:asciiTheme="minorHAnsi" w:hAnsiTheme="minorHAnsi"/>
          <w:color w:val="auto"/>
        </w:rPr>
      </w:pPr>
      <w:r w:rsidRPr="002758BB">
        <w:rPr>
          <w:rFonts w:asciiTheme="minorHAnsi" w:hAnsiTheme="minorHAnsi"/>
          <w:color w:val="auto"/>
        </w:rPr>
        <w:t xml:space="preserve">Where patients lack capacity to agree to the </w:t>
      </w:r>
      <w:r w:rsidR="00EE7857" w:rsidRPr="002758BB">
        <w:rPr>
          <w:rFonts w:asciiTheme="minorHAnsi" w:hAnsiTheme="minorHAnsi"/>
          <w:color w:val="auto"/>
        </w:rPr>
        <w:t>social distancing measures</w:t>
      </w:r>
      <w:r w:rsidR="002D2F78">
        <w:rPr>
          <w:rFonts w:asciiTheme="minorHAnsi" w:hAnsiTheme="minorHAnsi"/>
          <w:color w:val="auto"/>
        </w:rPr>
        <w:t xml:space="preserve"> for their own protection</w:t>
      </w:r>
      <w:r w:rsidR="00BB24E8" w:rsidRPr="002758BB">
        <w:rPr>
          <w:rFonts w:asciiTheme="minorHAnsi" w:hAnsiTheme="minorHAnsi"/>
          <w:color w:val="auto"/>
        </w:rPr>
        <w:t xml:space="preserve"> and are under DoLS</w:t>
      </w:r>
      <w:r w:rsidR="00EE7857" w:rsidRPr="002758BB">
        <w:rPr>
          <w:rFonts w:asciiTheme="minorHAnsi" w:hAnsiTheme="minorHAnsi"/>
          <w:color w:val="auto"/>
        </w:rPr>
        <w:t xml:space="preserve">, it should be noted what the restrictions in </w:t>
      </w:r>
      <w:r w:rsidR="00606306" w:rsidRPr="002758BB">
        <w:rPr>
          <w:rFonts w:asciiTheme="minorHAnsi" w:hAnsiTheme="minorHAnsi"/>
          <w:color w:val="auto"/>
        </w:rPr>
        <w:t xml:space="preserve">movement and that they are considered to be in the patient’s best interests. </w:t>
      </w:r>
      <w:r w:rsidR="00EE7857" w:rsidRPr="002758BB">
        <w:rPr>
          <w:rFonts w:asciiTheme="minorHAnsi" w:hAnsiTheme="minorHAnsi"/>
          <w:color w:val="auto"/>
        </w:rPr>
        <w:t xml:space="preserve">The </w:t>
      </w:r>
      <w:r w:rsidR="00E45B90">
        <w:rPr>
          <w:rFonts w:asciiTheme="minorHAnsi" w:hAnsiTheme="minorHAnsi"/>
          <w:color w:val="auto"/>
        </w:rPr>
        <w:t>Paris</w:t>
      </w:r>
      <w:r w:rsidR="00EE7857" w:rsidRPr="002758BB">
        <w:rPr>
          <w:rFonts w:asciiTheme="minorHAnsi" w:hAnsiTheme="minorHAnsi"/>
          <w:color w:val="auto"/>
        </w:rPr>
        <w:t xml:space="preserve"> capacity forms can be used for this purpose.</w:t>
      </w:r>
      <w:r w:rsidR="00682279" w:rsidRPr="002758BB">
        <w:rPr>
          <w:rFonts w:asciiTheme="minorHAnsi" w:hAnsiTheme="minorHAnsi"/>
          <w:color w:val="auto"/>
        </w:rPr>
        <w:t xml:space="preserve"> The principles of the MCA and the Code of Practice should continue to be followed.</w:t>
      </w:r>
    </w:p>
    <w:p w14:paraId="2BA6D667" w14:textId="77777777" w:rsidR="002D2F78" w:rsidRDefault="002D2F78" w:rsidP="002D2F78">
      <w:pPr>
        <w:autoSpaceDE w:val="0"/>
        <w:autoSpaceDN w:val="0"/>
        <w:adjustRightInd w:val="0"/>
        <w:spacing w:line="240" w:lineRule="auto"/>
        <w:jc w:val="both"/>
        <w:rPr>
          <w:rFonts w:cs="Arial"/>
          <w:sz w:val="24"/>
          <w:szCs w:val="24"/>
        </w:rPr>
      </w:pPr>
    </w:p>
    <w:p w14:paraId="2BA6D668" w14:textId="6CF33246" w:rsidR="00606306" w:rsidRDefault="00E45B90" w:rsidP="002D2F78">
      <w:pPr>
        <w:autoSpaceDE w:val="0"/>
        <w:autoSpaceDN w:val="0"/>
        <w:adjustRightInd w:val="0"/>
        <w:spacing w:line="240" w:lineRule="auto"/>
        <w:jc w:val="both"/>
        <w:rPr>
          <w:rFonts w:cs="Arial"/>
          <w:color w:val="000000"/>
          <w:sz w:val="24"/>
          <w:szCs w:val="24"/>
        </w:rPr>
      </w:pPr>
      <w:r>
        <w:rPr>
          <w:rFonts w:cs="Arial"/>
          <w:color w:val="000000"/>
          <w:sz w:val="24"/>
          <w:szCs w:val="24"/>
        </w:rPr>
        <w:t>Where a patient has a DoLS</w:t>
      </w:r>
      <w:r w:rsidR="00682279" w:rsidRPr="002758BB">
        <w:rPr>
          <w:rFonts w:cs="Arial"/>
          <w:color w:val="000000"/>
          <w:sz w:val="24"/>
          <w:szCs w:val="24"/>
        </w:rPr>
        <w:t xml:space="preserve"> application in place, the changes in a person’s care and treatment may not constitute of new deprivation of liberty. However, if the new arrangements are more restrictive than the current authorisation, then a review should be carried out. If the current authorisation does not cover the new arrangement, then a referral for a new authorisation should be made to </w:t>
      </w:r>
      <w:r w:rsidR="002758BB" w:rsidRPr="002758BB">
        <w:rPr>
          <w:rFonts w:cs="Arial"/>
          <w:color w:val="000000"/>
          <w:sz w:val="24"/>
          <w:szCs w:val="24"/>
        </w:rPr>
        <w:t>the local authority</w:t>
      </w:r>
      <w:r w:rsidR="00682279" w:rsidRPr="002758BB">
        <w:rPr>
          <w:rFonts w:cs="Arial"/>
          <w:color w:val="000000"/>
          <w:sz w:val="24"/>
          <w:szCs w:val="24"/>
        </w:rPr>
        <w:t xml:space="preserve">. </w:t>
      </w:r>
      <w:r w:rsidR="00682279" w:rsidRPr="00682279">
        <w:rPr>
          <w:rFonts w:cs="Arial"/>
          <w:color w:val="000000"/>
          <w:sz w:val="24"/>
          <w:szCs w:val="24"/>
        </w:rPr>
        <w:t xml:space="preserve">Any authorisation in force (urgent or standard) is still applicable if the person moves within the same setting e.g. a change of ward. </w:t>
      </w:r>
    </w:p>
    <w:p w14:paraId="2BA6D669" w14:textId="77777777" w:rsidR="00606306" w:rsidRPr="00606306" w:rsidRDefault="002758BB" w:rsidP="002D2F78">
      <w:pPr>
        <w:pStyle w:val="Default"/>
        <w:spacing w:after="200"/>
        <w:jc w:val="both"/>
        <w:rPr>
          <w:rFonts w:asciiTheme="minorHAnsi" w:hAnsiTheme="minorHAnsi"/>
        </w:rPr>
      </w:pPr>
      <w:r w:rsidRPr="002758BB">
        <w:rPr>
          <w:rFonts w:asciiTheme="minorHAnsi" w:hAnsiTheme="minorHAnsi"/>
        </w:rPr>
        <w:t>If</w:t>
      </w:r>
      <w:r w:rsidR="00606306" w:rsidRPr="00606306">
        <w:rPr>
          <w:rFonts w:asciiTheme="minorHAnsi" w:hAnsiTheme="minorHAnsi"/>
        </w:rPr>
        <w:t xml:space="preserve"> a</w:t>
      </w:r>
      <w:r w:rsidRPr="002758BB">
        <w:rPr>
          <w:rFonts w:asciiTheme="minorHAnsi" w:hAnsiTheme="minorHAnsi"/>
        </w:rPr>
        <w:t xml:space="preserve"> new authorisation is required</w:t>
      </w:r>
      <w:r w:rsidR="00606306" w:rsidRPr="00606306">
        <w:rPr>
          <w:rFonts w:asciiTheme="minorHAnsi" w:hAnsiTheme="minorHAnsi"/>
        </w:rPr>
        <w:t xml:space="preserve">, an urgent authorisation can come into effect </w:t>
      </w:r>
      <w:r w:rsidR="00606306" w:rsidRPr="00606306">
        <w:rPr>
          <w:rFonts w:asciiTheme="minorHAnsi" w:hAnsiTheme="minorHAnsi"/>
          <w:bCs/>
        </w:rPr>
        <w:t xml:space="preserve">instantly </w:t>
      </w:r>
      <w:r w:rsidR="00606306" w:rsidRPr="00606306">
        <w:rPr>
          <w:rFonts w:asciiTheme="minorHAnsi" w:hAnsiTheme="minorHAnsi"/>
        </w:rPr>
        <w:t xml:space="preserve">when the application is completed and lasts for up to a maximum of seven days, which can be extended for a further seven days if required. </w:t>
      </w:r>
    </w:p>
    <w:p w14:paraId="2BA6D66A" w14:textId="77777777" w:rsidR="002D2F78" w:rsidRDefault="00606306" w:rsidP="002D2F78">
      <w:pPr>
        <w:autoSpaceDE w:val="0"/>
        <w:autoSpaceDN w:val="0"/>
        <w:adjustRightInd w:val="0"/>
        <w:spacing w:line="240" w:lineRule="auto"/>
        <w:jc w:val="both"/>
        <w:rPr>
          <w:rFonts w:cs="Arial"/>
          <w:color w:val="000000"/>
          <w:sz w:val="24"/>
          <w:szCs w:val="24"/>
        </w:rPr>
      </w:pPr>
      <w:r w:rsidRPr="00606306">
        <w:rPr>
          <w:rFonts w:cs="Arial"/>
          <w:color w:val="000000"/>
          <w:sz w:val="24"/>
          <w:szCs w:val="24"/>
        </w:rPr>
        <w:t xml:space="preserve">During the pandemic, </w:t>
      </w:r>
      <w:r w:rsidR="002758BB" w:rsidRPr="002758BB">
        <w:rPr>
          <w:rFonts w:cs="Arial"/>
          <w:color w:val="000000"/>
          <w:sz w:val="24"/>
          <w:szCs w:val="24"/>
        </w:rPr>
        <w:t xml:space="preserve">a shortened form </w:t>
      </w:r>
      <w:r w:rsidRPr="00606306">
        <w:rPr>
          <w:rFonts w:cs="Arial"/>
          <w:color w:val="000000"/>
          <w:sz w:val="24"/>
          <w:szCs w:val="24"/>
        </w:rPr>
        <w:t>is needed</w:t>
      </w:r>
      <w:r w:rsidR="002758BB" w:rsidRPr="002758BB">
        <w:rPr>
          <w:rFonts w:cs="Arial"/>
          <w:color w:val="000000"/>
          <w:sz w:val="24"/>
          <w:szCs w:val="24"/>
        </w:rPr>
        <w:t xml:space="preserve"> (appendix A)</w:t>
      </w:r>
      <w:r w:rsidRPr="00606306">
        <w:rPr>
          <w:rFonts w:cs="Arial"/>
          <w:color w:val="000000"/>
          <w:sz w:val="24"/>
          <w:szCs w:val="24"/>
        </w:rPr>
        <w:t xml:space="preserve"> to grant an urgent authorisation and request an extension to that urgent authoris</w:t>
      </w:r>
      <w:r w:rsidR="002758BB" w:rsidRPr="002758BB">
        <w:rPr>
          <w:rFonts w:cs="Arial"/>
          <w:color w:val="000000"/>
          <w:sz w:val="24"/>
          <w:szCs w:val="24"/>
        </w:rPr>
        <w:t>at</w:t>
      </w:r>
      <w:r w:rsidR="002D2F78">
        <w:rPr>
          <w:rFonts w:cs="Arial"/>
          <w:color w:val="000000"/>
          <w:sz w:val="24"/>
          <w:szCs w:val="24"/>
        </w:rPr>
        <w:t>ion</w:t>
      </w:r>
      <w:r w:rsidR="002758BB" w:rsidRPr="002758BB">
        <w:rPr>
          <w:rFonts w:cs="Arial"/>
          <w:color w:val="000000"/>
          <w:sz w:val="24"/>
          <w:szCs w:val="24"/>
        </w:rPr>
        <w:t xml:space="preserve"> from the local authority</w:t>
      </w:r>
      <w:r w:rsidRPr="00606306">
        <w:rPr>
          <w:rFonts w:cs="Arial"/>
          <w:color w:val="000000"/>
          <w:sz w:val="24"/>
          <w:szCs w:val="24"/>
        </w:rPr>
        <w:t>. This should be submitted as soon as is practically possible after the deprivation of liberty has been identified and started. This guidance makes no changes to the process for a standard authorisation, which should be followed as usual</w:t>
      </w:r>
      <w:r w:rsidR="002758BB" w:rsidRPr="002758BB">
        <w:rPr>
          <w:rFonts w:cs="Arial"/>
          <w:color w:val="000000"/>
          <w:sz w:val="24"/>
          <w:szCs w:val="24"/>
        </w:rPr>
        <w:t>.</w:t>
      </w:r>
      <w:r w:rsidRPr="00606306">
        <w:rPr>
          <w:rFonts w:cs="Arial"/>
          <w:color w:val="000000"/>
          <w:sz w:val="24"/>
          <w:szCs w:val="24"/>
        </w:rPr>
        <w:t xml:space="preserve"> </w:t>
      </w:r>
    </w:p>
    <w:p w14:paraId="2BA6D66B" w14:textId="77777777" w:rsidR="002D2F78" w:rsidRDefault="002D2F78" w:rsidP="002D2F78">
      <w:pPr>
        <w:autoSpaceDE w:val="0"/>
        <w:autoSpaceDN w:val="0"/>
        <w:adjustRightInd w:val="0"/>
        <w:spacing w:line="240" w:lineRule="auto"/>
        <w:jc w:val="both"/>
        <w:rPr>
          <w:rFonts w:cs="Arial"/>
          <w:color w:val="000000"/>
          <w:sz w:val="24"/>
          <w:szCs w:val="24"/>
        </w:rPr>
      </w:pPr>
    </w:p>
    <w:p w14:paraId="2BA6D66C" w14:textId="77777777" w:rsidR="00606306" w:rsidRPr="00606306" w:rsidRDefault="00682279" w:rsidP="002D2F78">
      <w:pPr>
        <w:autoSpaceDE w:val="0"/>
        <w:autoSpaceDN w:val="0"/>
        <w:adjustRightInd w:val="0"/>
        <w:spacing w:line="240" w:lineRule="auto"/>
        <w:jc w:val="both"/>
        <w:rPr>
          <w:rFonts w:cs="Arial"/>
          <w:color w:val="000000"/>
          <w:sz w:val="24"/>
          <w:szCs w:val="24"/>
        </w:rPr>
      </w:pPr>
      <w:r w:rsidRPr="00682279">
        <w:rPr>
          <w:rFonts w:cs="Arial"/>
          <w:color w:val="000000"/>
          <w:sz w:val="24"/>
          <w:szCs w:val="24"/>
        </w:rPr>
        <w:t xml:space="preserve">Where the person is receiving end of life care, </w:t>
      </w:r>
      <w:r w:rsidR="00606306" w:rsidRPr="002758BB">
        <w:rPr>
          <w:rFonts w:cs="Arial"/>
          <w:color w:val="000000"/>
          <w:sz w:val="24"/>
          <w:szCs w:val="24"/>
        </w:rPr>
        <w:t>staff</w:t>
      </w:r>
      <w:r w:rsidRPr="00682279">
        <w:rPr>
          <w:rFonts w:cs="Arial"/>
          <w:color w:val="000000"/>
          <w:sz w:val="24"/>
          <w:szCs w:val="24"/>
        </w:rPr>
        <w:t xml:space="preserve"> should use their professional judgement as to whether DoLS assessments are appropriate and can add any value to </w:t>
      </w:r>
      <w:r w:rsidR="00606306" w:rsidRPr="002758BB">
        <w:rPr>
          <w:rFonts w:cs="Arial"/>
          <w:color w:val="000000"/>
          <w:sz w:val="24"/>
          <w:szCs w:val="24"/>
        </w:rPr>
        <w:t>the person’s care or treatment (Ferreira judgment).</w:t>
      </w:r>
    </w:p>
    <w:p w14:paraId="2BA6D66D" w14:textId="77777777" w:rsidR="00682279" w:rsidRDefault="00936502" w:rsidP="002D2F78">
      <w:pPr>
        <w:autoSpaceDE w:val="0"/>
        <w:autoSpaceDN w:val="0"/>
        <w:adjustRightInd w:val="0"/>
        <w:spacing w:line="240" w:lineRule="auto"/>
        <w:jc w:val="both"/>
        <w:rPr>
          <w:rFonts w:cs="Arial"/>
          <w:color w:val="000000"/>
          <w:sz w:val="24"/>
          <w:szCs w:val="24"/>
        </w:rPr>
      </w:pPr>
      <w:r>
        <w:rPr>
          <w:rFonts w:cs="Arial"/>
          <w:color w:val="000000"/>
          <w:sz w:val="24"/>
          <w:szCs w:val="24"/>
        </w:rPr>
        <w:t>For further advice, please contact either:</w:t>
      </w:r>
    </w:p>
    <w:p w14:paraId="2BA6D66E" w14:textId="77777777" w:rsidR="00936502" w:rsidRDefault="00936502" w:rsidP="00936502">
      <w:pPr>
        <w:autoSpaceDE w:val="0"/>
        <w:autoSpaceDN w:val="0"/>
        <w:adjustRightInd w:val="0"/>
        <w:spacing w:line="240" w:lineRule="auto"/>
        <w:rPr>
          <w:rFonts w:cs="Arial"/>
          <w:color w:val="000000"/>
          <w:sz w:val="24"/>
          <w:szCs w:val="24"/>
        </w:rPr>
      </w:pPr>
      <w:r>
        <w:rPr>
          <w:rFonts w:cs="Arial"/>
          <w:color w:val="000000"/>
          <w:sz w:val="24"/>
          <w:szCs w:val="24"/>
        </w:rPr>
        <w:t xml:space="preserve">Dr Kopal Tandon, Consultant Psychiatrist/Mental Capacity Medical Lead </w:t>
      </w:r>
      <w:hyperlink r:id="rId13" w:history="1">
        <w:r w:rsidRPr="00E32B56">
          <w:rPr>
            <w:rStyle w:val="Hyperlink"/>
            <w:rFonts w:cs="Arial"/>
            <w:sz w:val="24"/>
            <w:szCs w:val="24"/>
          </w:rPr>
          <w:t>kopal.tandon@nhs.net</w:t>
        </w:r>
      </w:hyperlink>
    </w:p>
    <w:p w14:paraId="2BA6D66F" w14:textId="77777777" w:rsidR="00936502" w:rsidRDefault="00936502" w:rsidP="00936502">
      <w:pPr>
        <w:autoSpaceDE w:val="0"/>
        <w:autoSpaceDN w:val="0"/>
        <w:adjustRightInd w:val="0"/>
        <w:spacing w:line="240" w:lineRule="auto"/>
        <w:rPr>
          <w:rFonts w:cs="Arial"/>
          <w:color w:val="000000"/>
          <w:sz w:val="24"/>
          <w:szCs w:val="24"/>
        </w:rPr>
      </w:pPr>
      <w:r>
        <w:rPr>
          <w:rFonts w:cs="Arial"/>
          <w:color w:val="000000"/>
          <w:sz w:val="24"/>
          <w:szCs w:val="24"/>
        </w:rPr>
        <w:t>Andrew Coburn, Legal Services Manager</w:t>
      </w:r>
      <w:r>
        <w:rPr>
          <w:rFonts w:cs="Arial"/>
          <w:color w:val="000000"/>
          <w:sz w:val="24"/>
          <w:szCs w:val="24"/>
        </w:rPr>
        <w:br/>
        <w:t xml:space="preserve"> </w:t>
      </w:r>
      <w:hyperlink r:id="rId14" w:history="1">
        <w:r w:rsidRPr="00E32B56">
          <w:rPr>
            <w:rStyle w:val="Hyperlink"/>
            <w:rFonts w:cs="Arial"/>
            <w:sz w:val="24"/>
            <w:szCs w:val="24"/>
          </w:rPr>
          <w:t>a.coburn@nhs.net</w:t>
        </w:r>
      </w:hyperlink>
    </w:p>
    <w:p w14:paraId="2BA6D670" w14:textId="0BFF275E" w:rsidR="00936502" w:rsidRPr="00936502" w:rsidRDefault="00936502" w:rsidP="00936502">
      <w:pPr>
        <w:jc w:val="both"/>
        <w:rPr>
          <w:sz w:val="24"/>
          <w:szCs w:val="24"/>
        </w:rPr>
      </w:pPr>
      <w:r w:rsidRPr="00936502">
        <w:rPr>
          <w:sz w:val="24"/>
          <w:szCs w:val="24"/>
        </w:rPr>
        <w:t>Guidance issued 17 April 2020</w:t>
      </w:r>
    </w:p>
    <w:p w14:paraId="2BA6D671" w14:textId="77777777" w:rsidR="00936502" w:rsidRPr="00682279" w:rsidRDefault="00936502" w:rsidP="00936502">
      <w:pPr>
        <w:autoSpaceDE w:val="0"/>
        <w:autoSpaceDN w:val="0"/>
        <w:adjustRightInd w:val="0"/>
        <w:spacing w:line="240" w:lineRule="auto"/>
        <w:rPr>
          <w:rFonts w:cs="Arial"/>
          <w:color w:val="000000"/>
          <w:sz w:val="24"/>
          <w:szCs w:val="24"/>
        </w:rPr>
      </w:pPr>
    </w:p>
    <w:p w14:paraId="2BA6D672" w14:textId="77777777" w:rsidR="00936502" w:rsidRDefault="00936502">
      <w:pPr>
        <w:rPr>
          <w:rFonts w:cs="Arial"/>
          <w:b/>
          <w:sz w:val="24"/>
          <w:szCs w:val="24"/>
        </w:rPr>
      </w:pPr>
      <w:r>
        <w:rPr>
          <w:b/>
        </w:rPr>
        <w:br w:type="page"/>
      </w:r>
    </w:p>
    <w:p w14:paraId="2BA6D673" w14:textId="77777777" w:rsidR="004D5760" w:rsidRDefault="00E86ABA" w:rsidP="002D2F78">
      <w:pPr>
        <w:pStyle w:val="Default"/>
        <w:spacing w:after="200"/>
        <w:jc w:val="both"/>
        <w:rPr>
          <w:rFonts w:asciiTheme="minorHAnsi" w:hAnsiTheme="minorHAnsi"/>
          <w:b/>
          <w:color w:val="auto"/>
        </w:rPr>
      </w:pPr>
      <w:r>
        <w:rPr>
          <w:rFonts w:asciiTheme="minorHAnsi" w:hAnsiTheme="minorHAnsi"/>
          <w:b/>
          <w:color w:val="auto"/>
        </w:rPr>
        <w:lastRenderedPageBreak/>
        <w:t>Appendix A</w:t>
      </w:r>
    </w:p>
    <w:p w14:paraId="2BA6D674" w14:textId="00494CBF" w:rsidR="00E86ABA" w:rsidRPr="00493982" w:rsidRDefault="00E45B90" w:rsidP="00493982">
      <w:pPr>
        <w:pStyle w:val="Default"/>
        <w:spacing w:after="200"/>
        <w:rPr>
          <w:rFonts w:asciiTheme="minorHAnsi" w:hAnsiTheme="minorHAnsi"/>
          <w:color w:val="auto"/>
        </w:rPr>
      </w:pPr>
      <w:hyperlink r:id="rId15" w:history="1">
        <w:r w:rsidR="00A86F78" w:rsidRPr="00A86F78">
          <w:rPr>
            <w:rStyle w:val="Hyperlink"/>
            <w:rFonts w:ascii="Verdana" w:hAnsi="Verdana"/>
            <w:sz w:val="22"/>
            <w:szCs w:val="16"/>
          </w:rPr>
          <w:t>DoLS</w:t>
        </w:r>
        <w:r>
          <w:rPr>
            <w:rStyle w:val="Hyperlink"/>
            <w:rFonts w:ascii="Verdana" w:hAnsi="Verdana"/>
            <w:sz w:val="22"/>
            <w:szCs w:val="16"/>
          </w:rPr>
          <w:t xml:space="preserve"> urgent </w:t>
        </w:r>
        <w:r w:rsidR="00A86F78" w:rsidRPr="00A86F78">
          <w:rPr>
            <w:rStyle w:val="Hyperlink"/>
            <w:rFonts w:ascii="Verdana" w:hAnsi="Verdana"/>
            <w:sz w:val="22"/>
            <w:szCs w:val="16"/>
          </w:rPr>
          <w:t>authorisation</w:t>
        </w:r>
        <w:r>
          <w:rPr>
            <w:rStyle w:val="Hyperlink"/>
            <w:rFonts w:ascii="Verdana" w:hAnsi="Verdana"/>
            <w:sz w:val="22"/>
            <w:szCs w:val="16"/>
          </w:rPr>
          <w:t xml:space="preserve"> form </w:t>
        </w:r>
        <w:r w:rsidR="00A86F78" w:rsidRPr="00A86F78">
          <w:rPr>
            <w:rStyle w:val="Hyperlink"/>
            <w:rFonts w:ascii="Verdana" w:hAnsi="Verdana"/>
            <w:sz w:val="22"/>
            <w:szCs w:val="16"/>
          </w:rPr>
          <w:t>Covid</w:t>
        </w:r>
        <w:r>
          <w:rPr>
            <w:rStyle w:val="Hyperlink"/>
            <w:rFonts w:ascii="Verdana" w:hAnsi="Verdana"/>
            <w:sz w:val="22"/>
            <w:szCs w:val="16"/>
          </w:rPr>
          <w:t>-</w:t>
        </w:r>
        <w:r w:rsidR="00A86F78" w:rsidRPr="00A86F78">
          <w:rPr>
            <w:rStyle w:val="Hyperlink"/>
            <w:rFonts w:ascii="Verdana" w:hAnsi="Verdana"/>
            <w:sz w:val="22"/>
            <w:szCs w:val="16"/>
          </w:rPr>
          <w:t>19</w:t>
        </w:r>
      </w:hyperlink>
      <w:r w:rsidR="00493982" w:rsidRPr="00A86F78">
        <w:rPr>
          <w:rFonts w:asciiTheme="minorHAnsi" w:hAnsiTheme="minorHAnsi"/>
          <w:color w:val="auto"/>
          <w:sz w:val="36"/>
        </w:rPr>
        <w:t xml:space="preserve"> </w:t>
      </w:r>
      <w:r w:rsidR="00493982" w:rsidRPr="00493982">
        <w:rPr>
          <w:rFonts w:asciiTheme="minorHAnsi" w:hAnsiTheme="minorHAnsi"/>
          <w:color w:val="auto"/>
        </w:rPr>
        <w:t xml:space="preserve">– please note that </w:t>
      </w:r>
      <w:r w:rsidR="00493982">
        <w:rPr>
          <w:rFonts w:asciiTheme="minorHAnsi" w:hAnsiTheme="minorHAnsi"/>
          <w:color w:val="auto"/>
        </w:rPr>
        <w:t xml:space="preserve">this form is stored on </w:t>
      </w:r>
      <w:r w:rsidR="00A86F78">
        <w:rPr>
          <w:rFonts w:asciiTheme="minorHAnsi" w:hAnsiTheme="minorHAnsi"/>
          <w:color w:val="auto"/>
        </w:rPr>
        <w:t xml:space="preserve">Approved Forms (Clinical) on </w:t>
      </w:r>
      <w:r w:rsidR="00493982">
        <w:rPr>
          <w:rFonts w:asciiTheme="minorHAnsi" w:hAnsiTheme="minorHAnsi"/>
          <w:color w:val="auto"/>
        </w:rPr>
        <w:t xml:space="preserve">Connect. If you are working from home, </w:t>
      </w:r>
      <w:r w:rsidR="00493982" w:rsidRPr="00493982">
        <w:rPr>
          <w:rFonts w:asciiTheme="minorHAnsi" w:hAnsiTheme="minorHAnsi"/>
          <w:color w:val="auto"/>
        </w:rPr>
        <w:t xml:space="preserve">you will need to be </w:t>
      </w:r>
      <w:r w:rsidR="00493982">
        <w:rPr>
          <w:rFonts w:asciiTheme="minorHAnsi" w:hAnsiTheme="minorHAnsi"/>
          <w:color w:val="auto"/>
        </w:rPr>
        <w:t>using the Remote Access Service or Cisco AnyConnect/Swivel to download this form.</w:t>
      </w:r>
    </w:p>
    <w:p w14:paraId="2BA6D675" w14:textId="77777777" w:rsidR="00E86ABA" w:rsidRDefault="00E86ABA" w:rsidP="00493982">
      <w:pPr>
        <w:pStyle w:val="Default"/>
        <w:spacing w:after="200"/>
        <w:rPr>
          <w:rFonts w:asciiTheme="minorHAnsi" w:hAnsiTheme="minorHAnsi"/>
          <w:b/>
          <w:color w:val="auto"/>
        </w:rPr>
      </w:pPr>
    </w:p>
    <w:p w14:paraId="2BA6D676" w14:textId="77777777" w:rsidR="00E86ABA" w:rsidRPr="002758BB" w:rsidRDefault="00E86ABA" w:rsidP="002D2F78">
      <w:pPr>
        <w:pStyle w:val="Default"/>
        <w:spacing w:after="200"/>
        <w:jc w:val="both"/>
        <w:rPr>
          <w:rFonts w:asciiTheme="minorHAnsi" w:hAnsiTheme="minorHAnsi"/>
          <w:b/>
          <w:color w:val="auto"/>
        </w:rPr>
      </w:pPr>
    </w:p>
    <w:p w14:paraId="2BA6D677" w14:textId="77777777" w:rsidR="00282ED0" w:rsidRPr="002758BB" w:rsidRDefault="00282ED0" w:rsidP="002D2F78">
      <w:pPr>
        <w:pStyle w:val="Default"/>
        <w:spacing w:after="200"/>
        <w:jc w:val="both"/>
        <w:rPr>
          <w:rFonts w:asciiTheme="minorHAnsi" w:hAnsiTheme="minorHAnsi"/>
          <w:color w:val="auto"/>
        </w:rPr>
      </w:pPr>
      <w:bookmarkStart w:id="0" w:name="_GoBack"/>
      <w:bookmarkEnd w:id="0"/>
    </w:p>
    <w:p w14:paraId="2BA6D678" w14:textId="77777777" w:rsidR="002758BB" w:rsidRPr="002758BB" w:rsidRDefault="002758BB" w:rsidP="002D2F78">
      <w:pPr>
        <w:pStyle w:val="Default"/>
        <w:spacing w:after="200"/>
        <w:jc w:val="both"/>
        <w:rPr>
          <w:rFonts w:asciiTheme="minorHAnsi" w:hAnsiTheme="minorHAnsi"/>
          <w:color w:val="auto"/>
        </w:rPr>
      </w:pPr>
    </w:p>
    <w:sectPr w:rsidR="002758BB" w:rsidRPr="002758B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6D67B" w14:textId="77777777" w:rsidR="00553FC9" w:rsidRDefault="00553FC9" w:rsidP="0051331E">
      <w:pPr>
        <w:spacing w:after="0" w:line="240" w:lineRule="auto"/>
      </w:pPr>
      <w:r>
        <w:separator/>
      </w:r>
    </w:p>
  </w:endnote>
  <w:endnote w:type="continuationSeparator" w:id="0">
    <w:p w14:paraId="2BA6D67C" w14:textId="77777777" w:rsidR="00553FC9" w:rsidRDefault="00553FC9" w:rsidP="0051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850405"/>
      <w:docPartObj>
        <w:docPartGallery w:val="Page Numbers (Bottom of Page)"/>
        <w:docPartUnique/>
      </w:docPartObj>
    </w:sdtPr>
    <w:sdtEndPr>
      <w:rPr>
        <w:noProof/>
      </w:rPr>
    </w:sdtEndPr>
    <w:sdtContent>
      <w:p w14:paraId="2BA6D67E" w14:textId="77777777" w:rsidR="00936502" w:rsidRDefault="00936502">
        <w:pPr>
          <w:pStyle w:val="Footer"/>
        </w:pPr>
        <w:r>
          <w:t xml:space="preserve">Page | </w:t>
        </w:r>
        <w:r>
          <w:fldChar w:fldCharType="begin"/>
        </w:r>
        <w:r>
          <w:instrText xml:space="preserve"> PAGE   \* MERGEFORMAT </w:instrText>
        </w:r>
        <w:r>
          <w:fldChar w:fldCharType="separate"/>
        </w:r>
        <w:r w:rsidR="00E45B90">
          <w:rPr>
            <w:noProof/>
          </w:rPr>
          <w:t>5</w:t>
        </w:r>
        <w:r>
          <w:rPr>
            <w:noProof/>
          </w:rPr>
          <w:fldChar w:fldCharType="end"/>
        </w:r>
      </w:p>
    </w:sdtContent>
  </w:sdt>
  <w:p w14:paraId="2BA6D67F" w14:textId="77777777" w:rsidR="00936502" w:rsidRDefault="00936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6D679" w14:textId="77777777" w:rsidR="00553FC9" w:rsidRDefault="00553FC9" w:rsidP="0051331E">
      <w:pPr>
        <w:spacing w:after="0" w:line="240" w:lineRule="auto"/>
      </w:pPr>
      <w:r>
        <w:separator/>
      </w:r>
    </w:p>
  </w:footnote>
  <w:footnote w:type="continuationSeparator" w:id="0">
    <w:p w14:paraId="2BA6D67A" w14:textId="77777777" w:rsidR="00553FC9" w:rsidRDefault="00553FC9" w:rsidP="00513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6D67D" w14:textId="77777777" w:rsidR="0051331E" w:rsidRDefault="00936502">
    <w:pPr>
      <w:pStyle w:val="Header"/>
    </w:pPr>
    <w:r>
      <w:rPr>
        <w:rFonts w:ascii="Arial" w:hAnsi="Arial" w:cs="Arial"/>
        <w:noProof/>
        <w:sz w:val="32"/>
        <w:szCs w:val="32"/>
        <w:lang w:eastAsia="en-GB"/>
      </w:rPr>
      <w:drawing>
        <wp:anchor distT="0" distB="0" distL="114300" distR="114300" simplePos="0" relativeHeight="251659776" behindDoc="1" locked="0" layoutInCell="1" allowOverlap="1" wp14:anchorId="2BA6D680" wp14:editId="2BA6D681">
          <wp:simplePos x="0" y="0"/>
          <wp:positionH relativeFrom="column">
            <wp:posOffset>4401953</wp:posOffset>
          </wp:positionH>
          <wp:positionV relativeFrom="paragraph">
            <wp:posOffset>-230771</wp:posOffset>
          </wp:positionV>
          <wp:extent cx="2138680" cy="324485"/>
          <wp:effectExtent l="0" t="0" r="0" b="0"/>
          <wp:wrapNone/>
          <wp:docPr id="12" name="Picture 12" descr="DHNHS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NHSF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324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64DBE"/>
    <w:multiLevelType w:val="hybridMultilevel"/>
    <w:tmpl w:val="235CE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E643DD"/>
    <w:multiLevelType w:val="hybridMultilevel"/>
    <w:tmpl w:val="6AC2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EA1980"/>
    <w:multiLevelType w:val="hybridMultilevel"/>
    <w:tmpl w:val="DB7E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663F22"/>
    <w:multiLevelType w:val="hybridMultilevel"/>
    <w:tmpl w:val="7FBC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8F7E61"/>
    <w:multiLevelType w:val="hybridMultilevel"/>
    <w:tmpl w:val="26E22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FBB265B"/>
    <w:multiLevelType w:val="hybridMultilevel"/>
    <w:tmpl w:val="C2BA1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1A"/>
    <w:rsid w:val="000835F6"/>
    <w:rsid w:val="000B058E"/>
    <w:rsid w:val="000E481A"/>
    <w:rsid w:val="0013713A"/>
    <w:rsid w:val="001F00E2"/>
    <w:rsid w:val="0027111B"/>
    <w:rsid w:val="00271A41"/>
    <w:rsid w:val="002758BB"/>
    <w:rsid w:val="00282ED0"/>
    <w:rsid w:val="00283FDD"/>
    <w:rsid w:val="00284B53"/>
    <w:rsid w:val="002A3D67"/>
    <w:rsid w:val="002D2F78"/>
    <w:rsid w:val="00321FE1"/>
    <w:rsid w:val="003A7BC7"/>
    <w:rsid w:val="003F17C0"/>
    <w:rsid w:val="00426371"/>
    <w:rsid w:val="004514EA"/>
    <w:rsid w:val="00491219"/>
    <w:rsid w:val="00493982"/>
    <w:rsid w:val="004D259E"/>
    <w:rsid w:val="004D43CD"/>
    <w:rsid w:val="004D5760"/>
    <w:rsid w:val="0050253E"/>
    <w:rsid w:val="0051331E"/>
    <w:rsid w:val="00553FC9"/>
    <w:rsid w:val="005F06BF"/>
    <w:rsid w:val="00606306"/>
    <w:rsid w:val="006170F4"/>
    <w:rsid w:val="00635EC5"/>
    <w:rsid w:val="0065537A"/>
    <w:rsid w:val="00682279"/>
    <w:rsid w:val="006B1148"/>
    <w:rsid w:val="006D3F92"/>
    <w:rsid w:val="007E4504"/>
    <w:rsid w:val="00936502"/>
    <w:rsid w:val="009616A7"/>
    <w:rsid w:val="00980E64"/>
    <w:rsid w:val="009F26F4"/>
    <w:rsid w:val="00A856D7"/>
    <w:rsid w:val="00A86F78"/>
    <w:rsid w:val="00AB2C6E"/>
    <w:rsid w:val="00AD0A37"/>
    <w:rsid w:val="00B11EEA"/>
    <w:rsid w:val="00B2052C"/>
    <w:rsid w:val="00B629B6"/>
    <w:rsid w:val="00B76131"/>
    <w:rsid w:val="00B96407"/>
    <w:rsid w:val="00BB24E8"/>
    <w:rsid w:val="00BB5017"/>
    <w:rsid w:val="00C334D1"/>
    <w:rsid w:val="00CA5ABA"/>
    <w:rsid w:val="00D41CD8"/>
    <w:rsid w:val="00D47A7E"/>
    <w:rsid w:val="00D755BE"/>
    <w:rsid w:val="00D82E22"/>
    <w:rsid w:val="00D96D3D"/>
    <w:rsid w:val="00DF6FEE"/>
    <w:rsid w:val="00E33DE1"/>
    <w:rsid w:val="00E45B90"/>
    <w:rsid w:val="00E83680"/>
    <w:rsid w:val="00E86ABA"/>
    <w:rsid w:val="00EE7857"/>
    <w:rsid w:val="00F3297A"/>
    <w:rsid w:val="00FB6443"/>
    <w:rsid w:val="00FC280E"/>
    <w:rsid w:val="00FD6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6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4B5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33DE1"/>
    <w:pPr>
      <w:ind w:left="720"/>
      <w:contextualSpacing/>
    </w:pPr>
  </w:style>
  <w:style w:type="character" w:styleId="Strong">
    <w:name w:val="Strong"/>
    <w:basedOn w:val="DefaultParagraphFont"/>
    <w:uiPriority w:val="22"/>
    <w:qFormat/>
    <w:rsid w:val="004D5760"/>
    <w:rPr>
      <w:b/>
      <w:bCs/>
    </w:rPr>
  </w:style>
  <w:style w:type="paragraph" w:styleId="NormalWeb">
    <w:name w:val="Normal (Web)"/>
    <w:basedOn w:val="Normal"/>
    <w:uiPriority w:val="99"/>
    <w:semiHidden/>
    <w:unhideWhenUsed/>
    <w:rsid w:val="004D5760"/>
    <w:pPr>
      <w:spacing w:after="24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13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31E"/>
  </w:style>
  <w:style w:type="paragraph" w:styleId="Footer">
    <w:name w:val="footer"/>
    <w:basedOn w:val="Normal"/>
    <w:link w:val="FooterChar"/>
    <w:uiPriority w:val="99"/>
    <w:unhideWhenUsed/>
    <w:rsid w:val="00513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31E"/>
  </w:style>
  <w:style w:type="paragraph" w:styleId="BalloonText">
    <w:name w:val="Balloon Text"/>
    <w:basedOn w:val="Normal"/>
    <w:link w:val="BalloonTextChar"/>
    <w:uiPriority w:val="99"/>
    <w:semiHidden/>
    <w:unhideWhenUsed/>
    <w:rsid w:val="00B76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131"/>
    <w:rPr>
      <w:rFonts w:ascii="Tahoma" w:hAnsi="Tahoma" w:cs="Tahoma"/>
      <w:sz w:val="16"/>
      <w:szCs w:val="16"/>
    </w:rPr>
  </w:style>
  <w:style w:type="character" w:styleId="Hyperlink">
    <w:name w:val="Hyperlink"/>
    <w:basedOn w:val="DefaultParagraphFont"/>
    <w:uiPriority w:val="99"/>
    <w:unhideWhenUsed/>
    <w:rsid w:val="00E86ABA"/>
    <w:rPr>
      <w:color w:val="0000FF" w:themeColor="hyperlink"/>
      <w:u w:val="single"/>
    </w:rPr>
  </w:style>
  <w:style w:type="character" w:styleId="FollowedHyperlink">
    <w:name w:val="FollowedHyperlink"/>
    <w:basedOn w:val="DefaultParagraphFont"/>
    <w:uiPriority w:val="99"/>
    <w:semiHidden/>
    <w:unhideWhenUsed/>
    <w:rsid w:val="006170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4B5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33DE1"/>
    <w:pPr>
      <w:ind w:left="720"/>
      <w:contextualSpacing/>
    </w:pPr>
  </w:style>
  <w:style w:type="character" w:styleId="Strong">
    <w:name w:val="Strong"/>
    <w:basedOn w:val="DefaultParagraphFont"/>
    <w:uiPriority w:val="22"/>
    <w:qFormat/>
    <w:rsid w:val="004D5760"/>
    <w:rPr>
      <w:b/>
      <w:bCs/>
    </w:rPr>
  </w:style>
  <w:style w:type="paragraph" w:styleId="NormalWeb">
    <w:name w:val="Normal (Web)"/>
    <w:basedOn w:val="Normal"/>
    <w:uiPriority w:val="99"/>
    <w:semiHidden/>
    <w:unhideWhenUsed/>
    <w:rsid w:val="004D5760"/>
    <w:pPr>
      <w:spacing w:after="24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13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31E"/>
  </w:style>
  <w:style w:type="paragraph" w:styleId="Footer">
    <w:name w:val="footer"/>
    <w:basedOn w:val="Normal"/>
    <w:link w:val="FooterChar"/>
    <w:uiPriority w:val="99"/>
    <w:unhideWhenUsed/>
    <w:rsid w:val="00513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31E"/>
  </w:style>
  <w:style w:type="paragraph" w:styleId="BalloonText">
    <w:name w:val="Balloon Text"/>
    <w:basedOn w:val="Normal"/>
    <w:link w:val="BalloonTextChar"/>
    <w:uiPriority w:val="99"/>
    <w:semiHidden/>
    <w:unhideWhenUsed/>
    <w:rsid w:val="00B76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131"/>
    <w:rPr>
      <w:rFonts w:ascii="Tahoma" w:hAnsi="Tahoma" w:cs="Tahoma"/>
      <w:sz w:val="16"/>
      <w:szCs w:val="16"/>
    </w:rPr>
  </w:style>
  <w:style w:type="character" w:styleId="Hyperlink">
    <w:name w:val="Hyperlink"/>
    <w:basedOn w:val="DefaultParagraphFont"/>
    <w:uiPriority w:val="99"/>
    <w:unhideWhenUsed/>
    <w:rsid w:val="00E86ABA"/>
    <w:rPr>
      <w:color w:val="0000FF" w:themeColor="hyperlink"/>
      <w:u w:val="single"/>
    </w:rPr>
  </w:style>
  <w:style w:type="character" w:styleId="FollowedHyperlink">
    <w:name w:val="FollowedHyperlink"/>
    <w:basedOn w:val="DefaultParagraphFont"/>
    <w:uiPriority w:val="99"/>
    <w:semiHidden/>
    <w:unhideWhenUsed/>
    <w:rsid w:val="00617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282">
      <w:bodyDiv w:val="1"/>
      <w:marLeft w:val="0"/>
      <w:marRight w:val="0"/>
      <w:marTop w:val="0"/>
      <w:marBottom w:val="0"/>
      <w:divBdr>
        <w:top w:val="none" w:sz="0" w:space="0" w:color="auto"/>
        <w:left w:val="none" w:sz="0" w:space="0" w:color="auto"/>
        <w:bottom w:val="none" w:sz="0" w:space="0" w:color="auto"/>
        <w:right w:val="none" w:sz="0" w:space="0" w:color="auto"/>
      </w:divBdr>
      <w:divsChild>
        <w:div w:id="1011227646">
          <w:marLeft w:val="0"/>
          <w:marRight w:val="0"/>
          <w:marTop w:val="0"/>
          <w:marBottom w:val="0"/>
          <w:divBdr>
            <w:top w:val="none" w:sz="0" w:space="0" w:color="auto"/>
            <w:left w:val="none" w:sz="0" w:space="0" w:color="auto"/>
            <w:bottom w:val="none" w:sz="0" w:space="0" w:color="auto"/>
            <w:right w:val="none" w:sz="0" w:space="0" w:color="auto"/>
          </w:divBdr>
          <w:divsChild>
            <w:div w:id="2140878833">
              <w:marLeft w:val="0"/>
              <w:marRight w:val="0"/>
              <w:marTop w:val="0"/>
              <w:marBottom w:val="0"/>
              <w:divBdr>
                <w:top w:val="none" w:sz="0" w:space="0" w:color="auto"/>
                <w:left w:val="none" w:sz="0" w:space="0" w:color="auto"/>
                <w:bottom w:val="none" w:sz="0" w:space="0" w:color="auto"/>
                <w:right w:val="none" w:sz="0" w:space="0" w:color="auto"/>
              </w:divBdr>
              <w:divsChild>
                <w:div w:id="238491730">
                  <w:marLeft w:val="0"/>
                  <w:marRight w:val="0"/>
                  <w:marTop w:val="0"/>
                  <w:marBottom w:val="0"/>
                  <w:divBdr>
                    <w:top w:val="none" w:sz="0" w:space="0" w:color="auto"/>
                    <w:left w:val="none" w:sz="0" w:space="0" w:color="auto"/>
                    <w:bottom w:val="none" w:sz="0" w:space="0" w:color="auto"/>
                    <w:right w:val="none" w:sz="0" w:space="0" w:color="auto"/>
                  </w:divBdr>
                  <w:divsChild>
                    <w:div w:id="106117741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80769">
      <w:bodyDiv w:val="1"/>
      <w:marLeft w:val="0"/>
      <w:marRight w:val="0"/>
      <w:marTop w:val="0"/>
      <w:marBottom w:val="0"/>
      <w:divBdr>
        <w:top w:val="none" w:sz="0" w:space="0" w:color="auto"/>
        <w:left w:val="none" w:sz="0" w:space="0" w:color="auto"/>
        <w:bottom w:val="none" w:sz="0" w:space="0" w:color="auto"/>
        <w:right w:val="none" w:sz="0" w:space="0" w:color="auto"/>
      </w:divBdr>
      <w:divsChild>
        <w:div w:id="2086804398">
          <w:marLeft w:val="0"/>
          <w:marRight w:val="0"/>
          <w:marTop w:val="0"/>
          <w:marBottom w:val="0"/>
          <w:divBdr>
            <w:top w:val="none" w:sz="0" w:space="0" w:color="auto"/>
            <w:left w:val="none" w:sz="0" w:space="0" w:color="auto"/>
            <w:bottom w:val="none" w:sz="0" w:space="0" w:color="auto"/>
            <w:right w:val="none" w:sz="0" w:space="0" w:color="auto"/>
          </w:divBdr>
          <w:divsChild>
            <w:div w:id="447310382">
              <w:marLeft w:val="0"/>
              <w:marRight w:val="0"/>
              <w:marTop w:val="0"/>
              <w:marBottom w:val="0"/>
              <w:divBdr>
                <w:top w:val="none" w:sz="0" w:space="0" w:color="auto"/>
                <w:left w:val="none" w:sz="0" w:space="0" w:color="auto"/>
                <w:bottom w:val="none" w:sz="0" w:space="0" w:color="auto"/>
                <w:right w:val="none" w:sz="0" w:space="0" w:color="auto"/>
              </w:divBdr>
              <w:divsChild>
                <w:div w:id="1655453610">
                  <w:marLeft w:val="0"/>
                  <w:marRight w:val="0"/>
                  <w:marTop w:val="0"/>
                  <w:marBottom w:val="0"/>
                  <w:divBdr>
                    <w:top w:val="none" w:sz="0" w:space="0" w:color="auto"/>
                    <w:left w:val="none" w:sz="0" w:space="0" w:color="auto"/>
                    <w:bottom w:val="none" w:sz="0" w:space="0" w:color="auto"/>
                    <w:right w:val="none" w:sz="0" w:space="0" w:color="auto"/>
                  </w:divBdr>
                  <w:divsChild>
                    <w:div w:id="121262025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opal.tandon@nhs.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connect/sites/ConnectTeams/Resources/ApprovedForms/Clinical%20Forms/DoLS_urgent_authorisation_form_Covid19.docx"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coburn@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Supporting Document" ma:contentTypeID="0x0101007EFCBC2434AEB94F98B5BCE41B2256CE1400B36E6ECE5123064FB14DDC1910607C20" ma:contentTypeVersion="3" ma:contentTypeDescription="" ma:contentTypeScope="" ma:versionID="bf5485fdfac835a7c8e05c0a505d2df3">
  <xsd:schema xmlns:xsd="http://www.w3.org/2001/XMLSchema" xmlns:xs="http://www.w3.org/2001/XMLSchema" xmlns:p="http://schemas.microsoft.com/office/2006/metadata/properties" xmlns:ns2="34ef45b1-504e-4bf9-8eb4-e390b30a1710" xmlns:ns3="86b554dd-2bf2-4bf2-ae98-bd9a2e14566d" xmlns:ns4="24e3b8ce-b387-4031-a935-0e70a143c3c4" targetNamespace="http://schemas.microsoft.com/office/2006/metadata/properties" ma:root="true" ma:fieldsID="d13290329b06fea25cc7c0f844c375dd" ns2:_="" ns3:_="" ns4:_="">
    <xsd:import namespace="34ef45b1-504e-4bf9-8eb4-e390b30a1710"/>
    <xsd:import namespace="86b554dd-2bf2-4bf2-ae98-bd9a2e14566d"/>
    <xsd:import namespace="24e3b8ce-b387-4031-a935-0e70a143c3c4"/>
    <xsd:element name="properties">
      <xsd:complexType>
        <xsd:sequence>
          <xsd:element name="documentManagement">
            <xsd:complexType>
              <xsd:all>
                <xsd:element ref="ns2:_dlc_DocId" minOccurs="0"/>
                <xsd:element ref="ns2:_dlc_DocIdUrl" minOccurs="0"/>
                <xsd:element ref="ns2:_dlc_DocIdPersistId" minOccurs="0"/>
                <xsd:element ref="ns3:IG_x0020_Toolkit_x0020_V8TaxHTField0" minOccurs="0"/>
                <xsd:element ref="ns2:TaxCatchAll" minOccurs="0"/>
                <xsd:element ref="ns2:TaxCatchAllLabel" minOccurs="0"/>
                <xsd:element ref="ns3:NHSLA_x0020_Standards_x0020_2011_x002F_12TaxHTField0" minOccurs="0"/>
                <xsd:element ref="ns3:CQC_x0020_Trust_x0020_LocationsTaxHTField0" minOccurs="0"/>
                <xsd:element ref="ns3:Care_x0020_Quality_x0020_Commission_x0020_Standards_x0020_2011_x002F_12TaxHTField0" minOccurs="0"/>
                <xsd:element ref="ns3:Trust_x0020_Policy_x0020_Category" minOccurs="0"/>
                <xsd:element ref="ns4:NewColum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f45b1-504e-4bf9-8eb4-e390b30a17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bd1990f7-f9b2-481e-b909-801dfb52226a}" ma:internalName="TaxCatchAll" ma:showField="CatchAllData" ma:web="86b554dd-2bf2-4bf2-ae98-bd9a2e14566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d1990f7-f9b2-481e-b909-801dfb52226a}" ma:internalName="TaxCatchAllLabel" ma:readOnly="true" ma:showField="CatchAllDataLabel" ma:web="86b554dd-2bf2-4bf2-ae98-bd9a2e1456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b554dd-2bf2-4bf2-ae98-bd9a2e14566d" elementFormDefault="qualified">
    <xsd:import namespace="http://schemas.microsoft.com/office/2006/documentManagement/types"/>
    <xsd:import namespace="http://schemas.microsoft.com/office/infopath/2007/PartnerControls"/>
    <xsd:element name="IG_x0020_Toolkit_x0020_V8TaxHTField0" ma:index="11" nillable="true" ma:taxonomy="true" ma:internalName="IG_x0020_Toolkit_x0020_V8TaxHTField0" ma:taxonomyFieldName="IG_x0020_Toolkit_x0020_V8" ma:displayName="IG Toolkit V8" ma:default="" ma:fieldId="{486d266a-d5d4-4d15-84de-d7970dd20f32}" ma:taxonomyMulti="true" ma:sspId="86a41be9-0d6f-410b-933b-03bc6b934a66" ma:termSetId="be3390c1-924f-44d1-a186-c1b479c596bb" ma:anchorId="00000000-0000-0000-0000-000000000000" ma:open="false" ma:isKeyword="false">
      <xsd:complexType>
        <xsd:sequence>
          <xsd:element ref="pc:Terms" minOccurs="0" maxOccurs="1"/>
        </xsd:sequence>
      </xsd:complexType>
    </xsd:element>
    <xsd:element name="NHSLA_x0020_Standards_x0020_2011_x002F_12TaxHTField0" ma:index="15" nillable="true" ma:taxonomy="true" ma:internalName="NHSLA_x0020_Standards_x0020_2011_x002F_12TaxHTField0" ma:taxonomyFieldName="NHSLA_x0020_Standards_x0020_2011_x002F_12" ma:displayName="NHSLA Standards 2011/12" ma:default="" ma:fieldId="{74d3b4f0-b9d0-4a1d-8580-c68dcf7a66a8}" ma:taxonomyMulti="true" ma:sspId="86a41be9-0d6f-410b-933b-03bc6b934a66" ma:termSetId="0b719a47-6189-473e-8544-0a3e94944179" ma:anchorId="00000000-0000-0000-0000-000000000000" ma:open="false" ma:isKeyword="false">
      <xsd:complexType>
        <xsd:sequence>
          <xsd:element ref="pc:Terms" minOccurs="0" maxOccurs="1"/>
        </xsd:sequence>
      </xsd:complexType>
    </xsd:element>
    <xsd:element name="CQC_x0020_Trust_x0020_LocationsTaxHTField0" ma:index="17" nillable="true" ma:taxonomy="true" ma:internalName="CQC_x0020_Trust_x0020_LocationsTaxHTField0" ma:taxonomyFieldName="CQC_x0020_Trust_x0020_Locations" ma:displayName="CQC Trust Locations" ma:default="" ma:fieldId="{df890db5-042c-424b-9661-ceb8a4e33d2c}" ma:taxonomyMulti="true" ma:sspId="86a41be9-0d6f-410b-933b-03bc6b934a66" ma:termSetId="6791b25b-9f82-4073-9fc4-ad203edcccac" ma:anchorId="00000000-0000-0000-0000-000000000000" ma:open="false" ma:isKeyword="false">
      <xsd:complexType>
        <xsd:sequence>
          <xsd:element ref="pc:Terms" minOccurs="0" maxOccurs="1"/>
        </xsd:sequence>
      </xsd:complexType>
    </xsd:element>
    <xsd:element name="Care_x0020_Quality_x0020_Commission_x0020_Standards_x0020_2011_x002F_12TaxHTField0" ma:index="19" nillable="true" ma:taxonomy="true" ma:internalName="Care_x0020_Quality_x0020_Commission_x0020_Standards_x0020_2011_x002F_12TaxHTField0" ma:taxonomyFieldName="Care_x0020_Quality_x0020_Commission_x0020_Standards_x0020_2011_x002F_12" ma:displayName="Care Quality Commission Standards 2011/12" ma:readOnly="false" ma:default="" ma:fieldId="{349aa99b-9128-48f3-a97f-ee7945d2ab58}" ma:taxonomyMulti="true" ma:sspId="86a41be9-0d6f-410b-933b-03bc6b934a66" ma:termSetId="3bac4c07-8004-42ea-b814-37f7f6ee2826" ma:anchorId="00000000-0000-0000-0000-000000000000" ma:open="false" ma:isKeyword="false">
      <xsd:complexType>
        <xsd:sequence>
          <xsd:element ref="pc:Terms" minOccurs="0" maxOccurs="1"/>
        </xsd:sequence>
      </xsd:complexType>
    </xsd:element>
    <xsd:element name="Trust_x0020_Policy_x0020_Category" ma:index="21" nillable="true" ma:displayName="Trust Policy Category" ma:description="Please select the category this policy applies to." ma:list="{6765f737-3e1f-4f41-a7f2-499d6adbbfc0}" ma:internalName="Trust_x0020_Policy_x0020_Category" ma:showField="Title" ma:web="86b554dd-2bf2-4bf2-ae98-bd9a2e14566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4e3b8ce-b387-4031-a935-0e70a143c3c4" elementFormDefault="qualified">
    <xsd:import namespace="http://schemas.microsoft.com/office/2006/documentManagement/types"/>
    <xsd:import namespace="http://schemas.microsoft.com/office/infopath/2007/PartnerControls"/>
    <xsd:element name="NewColumn1" ma:index="22" nillable="true" ma:displayName="Policies and Procedures" ma:description="" ma:list="{7b083cb4-f50e-4ea4-b561-bf3ea04773e9}" ma:internalName="NewColumn1" ma:showField="Title" ma:web="{E1DC51CF-F758-4050-9F58-03E65C71D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wColumn1 xmlns="24e3b8ce-b387-4031-a935-0e70a143c3c4">
      <Value>941</Value>
    </NewColumn1>
    <NHSLA_x0020_Standards_x0020_2011_x002F_12TaxHTField0 xmlns="86b554dd-2bf2-4bf2-ae98-bd9a2e14566d">
      <Terms xmlns="http://schemas.microsoft.com/office/infopath/2007/PartnerControls"/>
    </NHSLA_x0020_Standards_x0020_2011_x002F_12TaxHTField0>
    <CQC_x0020_Trust_x0020_LocationsTaxHTField0 xmlns="86b554dd-2bf2-4bf2-ae98-bd9a2e14566d">
      <Terms xmlns="http://schemas.microsoft.com/office/infopath/2007/PartnerControls"/>
    </CQC_x0020_Trust_x0020_LocationsTaxHTField0>
    <Care_x0020_Quality_x0020_Commission_x0020_Standards_x0020_2011_x002F_12TaxHTField0 xmlns="86b554dd-2bf2-4bf2-ae98-bd9a2e14566d">
      <Terms xmlns="http://schemas.microsoft.com/office/infopath/2007/PartnerControls"/>
    </Care_x0020_Quality_x0020_Commission_x0020_Standards_x0020_2011_x002F_12TaxHTField0>
    <TaxCatchAll xmlns="34ef45b1-504e-4bf9-8eb4-e390b30a1710"/>
    <Trust_x0020_Policy_x0020_Category xmlns="86b554dd-2bf2-4bf2-ae98-bd9a2e14566d">2</Trust_x0020_Policy_x0020_Category>
    <IG_x0020_Toolkit_x0020_V8TaxHTField0 xmlns="86b554dd-2bf2-4bf2-ae98-bd9a2e14566d">
      <Terms xmlns="http://schemas.microsoft.com/office/infopath/2007/PartnerControls"/>
    </IG_x0020_Toolkit_x0020_V8TaxHTField0>
    <_dlc_DocId xmlns="34ef45b1-504e-4bf9-8eb4-e390b30a1710">DHCFTDOC-417-211</_dlc_DocId>
    <_dlc_DocIdUrl xmlns="34ef45b1-504e-4bf9-8eb4-e390b30a1710">
      <Url>http://connect/sites/ConnectTeams/Resources/PnP/_layouts/DocIdRedir.aspx?ID=DHCFTDOC-417-211</Url>
      <Description>DHCFTDOC-417-211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82B8E-F21C-4520-BD30-752CF6FBE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f45b1-504e-4bf9-8eb4-e390b30a1710"/>
    <ds:schemaRef ds:uri="86b554dd-2bf2-4bf2-ae98-bd9a2e14566d"/>
    <ds:schemaRef ds:uri="24e3b8ce-b387-4031-a935-0e70a143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26601-8B99-4AEA-877C-317F44457054}">
  <ds:schemaRefs>
    <ds:schemaRef ds:uri="http://schemas.microsoft.com/sharepoint/events"/>
  </ds:schemaRefs>
</ds:datastoreItem>
</file>

<file path=customXml/itemProps3.xml><?xml version="1.0" encoding="utf-8"?>
<ds:datastoreItem xmlns:ds="http://schemas.openxmlformats.org/officeDocument/2006/customXml" ds:itemID="{C5D0008D-ABBE-4D95-BD42-4A9B5B1FC4E0}">
  <ds:schemaRefs>
    <ds:schemaRef ds:uri="http://schemas.microsoft.com/sharepoint/v3/contenttype/forms"/>
  </ds:schemaRefs>
</ds:datastoreItem>
</file>

<file path=customXml/itemProps4.xml><?xml version="1.0" encoding="utf-8"?>
<ds:datastoreItem xmlns:ds="http://schemas.openxmlformats.org/officeDocument/2006/customXml" ds:itemID="{D2220142-3969-4940-84C6-F1FA9BB4B46F}">
  <ds:schemaRefs>
    <ds:schemaRef ds:uri="86b554dd-2bf2-4bf2-ae98-bd9a2e14566d"/>
    <ds:schemaRef ds:uri="http://purl.org/dc/elements/1.1/"/>
    <ds:schemaRef ds:uri="http://schemas.microsoft.com/office/2006/metadata/properties"/>
    <ds:schemaRef ds:uri="24e3b8ce-b387-4031-a935-0e70a143c3c4"/>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34ef45b1-504e-4bf9-8eb4-e390b30a1710"/>
    <ds:schemaRef ds:uri="http://www.w3.org/XML/1998/namespace"/>
    <ds:schemaRef ds:uri="http://purl.org/dc/dcmitype/"/>
  </ds:schemaRefs>
</ds:datastoreItem>
</file>

<file path=customXml/itemProps5.xml><?xml version="1.0" encoding="utf-8"?>
<ds:datastoreItem xmlns:ds="http://schemas.openxmlformats.org/officeDocument/2006/customXml" ds:itemID="{04748645-AAB3-4098-A436-CDA0A1B4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8171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and consent to agree to COVID-19 restrictions on inpatient units</dc:title>
  <dc:creator>Kopal_Tandon</dc:creator>
  <cp:lastModifiedBy>Hilary_Burton</cp:lastModifiedBy>
  <cp:revision>2</cp:revision>
  <dcterms:created xsi:type="dcterms:W3CDTF">2020-07-06T13:34:00Z</dcterms:created>
  <dcterms:modified xsi:type="dcterms:W3CDTF">2020-07-06T13:34:00Z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0x0101007EFCBC2434AEB94F98B5BCE41B2256CE1400B36E6ECE5123064FB14DDC1910607C20</vt:lpwstr>
  </property>
  <property fmtid="{D5CDD505-2E9C-101B-9397-08002B2CF9AE}" pid="3" name="_dlc_DocIdItemGuid">
    <vt:lpwstr>821d421b-a53a-4774-a17e-1f2ac3e7c87f</vt:lpwstr>
  </property>
  <property fmtid="{D5CDD505-2E9C-101B-9397-08002B2CF9AE}" pid="4" name="Care Quality Commission Standards 2011/12">
    <vt:lpwstr/>
  </property>
  <property fmtid="{D5CDD505-2E9C-101B-9397-08002B2CF9AE}" pid="5" name="IG Toolkit V8">
    <vt:lpwstr/>
  </property>
  <property fmtid="{D5CDD505-2E9C-101B-9397-08002B2CF9AE}" pid="6" name="NHSLA Standards 2011/12">
    <vt:lpwstr/>
  </property>
  <property fmtid="{D5CDD505-2E9C-101B-9397-08002B2CF9AE}" pid="7" name="CQC Trust Locations">
    <vt:lpwstr/>
  </property>
</Properties>
</file>